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457EF">
      <w:pPr>
        <w:widowControl/>
        <w:jc w:val="center"/>
        <w:rPr>
          <w:rFonts w:ascii="Times New Roman" w:hAnsi="Times New Roman" w:eastAsia="方正小标宋简体" w:cs="Times New Roman"/>
          <w:b w:val="0"/>
          <w:bCs w:val="0"/>
          <w:color w:val="auto"/>
          <w:sz w:val="36"/>
          <w:szCs w:val="36"/>
          <w:highlight w:val="none"/>
        </w:rPr>
      </w:pPr>
      <w:r>
        <w:rPr>
          <w:rFonts w:ascii="Times New Roman" w:hAnsi="Times New Roman" w:eastAsia="方正小标宋简体" w:cs="Times New Roman"/>
          <w:b w:val="0"/>
          <w:bCs w:val="0"/>
          <w:color w:val="auto"/>
          <w:sz w:val="36"/>
          <w:szCs w:val="36"/>
          <w:highlight w:val="none"/>
        </w:rPr>
        <w:t>《</w:t>
      </w:r>
      <w:bookmarkStart w:id="27" w:name="_GoBack"/>
      <w:bookmarkEnd w:id="27"/>
      <w:r>
        <w:rPr>
          <w:rFonts w:hint="eastAsia" w:ascii="Times New Roman" w:hAnsi="Times New Roman" w:eastAsia="方正小标宋简体" w:cs="Times New Roman"/>
          <w:b w:val="0"/>
          <w:bCs w:val="0"/>
          <w:color w:val="auto"/>
          <w:sz w:val="36"/>
          <w:szCs w:val="36"/>
          <w:highlight w:val="none"/>
          <w:lang w:val="en-US" w:eastAsia="zh-CN"/>
        </w:rPr>
        <w:t>嘎啦苹果等级和规格</w:t>
      </w:r>
      <w:r>
        <w:rPr>
          <w:rFonts w:ascii="Times New Roman" w:hAnsi="Times New Roman" w:eastAsia="方正小标宋简体" w:cs="Times New Roman"/>
          <w:b w:val="0"/>
          <w:bCs w:val="0"/>
          <w:color w:val="auto"/>
          <w:sz w:val="36"/>
          <w:szCs w:val="36"/>
          <w:highlight w:val="none"/>
        </w:rPr>
        <w:t>》编制说明</w:t>
      </w:r>
    </w:p>
    <w:p w14:paraId="1372EE8E">
      <w:pPr>
        <w:widowControl/>
        <w:jc w:val="center"/>
        <w:rPr>
          <w:rFonts w:ascii="Times New Roman" w:hAnsi="Times New Roman" w:cs="Times New Roman"/>
          <w:color w:val="auto"/>
          <w:highlight w:val="none"/>
        </w:rPr>
      </w:pPr>
      <w:r>
        <w:rPr>
          <w:rFonts w:ascii="Times New Roman" w:hAnsi="Times New Roman" w:eastAsia="宋体" w:cs="Times New Roman"/>
          <w:color w:val="auto"/>
          <w:kern w:val="0"/>
          <w:sz w:val="31"/>
          <w:szCs w:val="31"/>
          <w:highlight w:val="none"/>
          <w:lang w:bidi="ar"/>
        </w:rPr>
        <w:t>（</w:t>
      </w:r>
      <w:r>
        <w:rPr>
          <w:rFonts w:hint="eastAsia" w:ascii="Times New Roman" w:hAnsi="Times New Roman" w:eastAsia="宋体" w:cs="Times New Roman"/>
          <w:color w:val="auto"/>
          <w:kern w:val="0"/>
          <w:sz w:val="31"/>
          <w:szCs w:val="31"/>
          <w:highlight w:val="none"/>
          <w:lang w:val="en-US" w:eastAsia="zh-CN" w:bidi="ar"/>
        </w:rPr>
        <w:t>征求意见稿</w:t>
      </w:r>
      <w:r>
        <w:rPr>
          <w:rFonts w:ascii="Times New Roman" w:hAnsi="Times New Roman" w:eastAsia="宋体" w:cs="Times New Roman"/>
          <w:color w:val="auto"/>
          <w:kern w:val="0"/>
          <w:sz w:val="31"/>
          <w:szCs w:val="31"/>
          <w:highlight w:val="none"/>
          <w:lang w:bidi="ar"/>
        </w:rPr>
        <w:t>）</w:t>
      </w:r>
    </w:p>
    <w:p w14:paraId="13B827DB">
      <w:pPr>
        <w:spacing w:before="120" w:after="120" w:line="288" w:lineRule="auto"/>
        <w:ind w:left="0" w:firstLine="422" w:firstLineChars="200"/>
        <w:jc w:val="left"/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</w:pPr>
      <w:bookmarkStart w:id="0" w:name="heading_0"/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一、工作简况</w:t>
      </w:r>
      <w:bookmarkEnd w:id="0"/>
    </w:p>
    <w:p w14:paraId="202CB9F8">
      <w:pPr>
        <w:widowControl/>
        <w:spacing w:before="312" w:beforeLines="100" w:after="312" w:afterLines="100"/>
        <w:ind w:firstLine="420" w:firstLineChars="200"/>
        <w:jc w:val="left"/>
        <w:rPr>
          <w:rFonts w:ascii="Times New Roman" w:hAnsi="Times New Roman" w:eastAsia="楷体" w:cs="Times New Roman"/>
          <w:color w:val="auto"/>
          <w:sz w:val="21"/>
          <w:szCs w:val="21"/>
          <w:highlight w:val="none"/>
        </w:rPr>
      </w:pPr>
      <w:r>
        <w:rPr>
          <w:rFonts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bidi="ar"/>
        </w:rPr>
        <w:t>（一）任务来源</w:t>
      </w:r>
    </w:p>
    <w:p w14:paraId="2B86CE44">
      <w:pPr>
        <w:widowControl/>
        <w:spacing w:line="300" w:lineRule="auto"/>
        <w:ind w:firstLine="420" w:firstLineChars="200"/>
        <w:jc w:val="both"/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我国是全球苹果第一大生产与消费国，202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5</w:t>
      </w:r>
      <w:r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年全国苹果种植面积28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38</w:t>
      </w:r>
      <w:r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万亩、总产量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3805</w:t>
      </w:r>
      <w:r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万吨，嘎啦作为国内规模化主栽早熟苹果品种，种植覆盖陕西、山东、河南、甘肃、山西、云南等核心产区，是填补夏季鲜果市场空档、优化苹果品种结构、延伸苹果全产业链的关键早熟果品，在果农增收、县域特色农业发展中占据重要地位。</w:t>
      </w:r>
    </w:p>
    <w:p w14:paraId="720D246C">
      <w:pPr>
        <w:widowControl/>
        <w:spacing w:line="300" w:lineRule="auto"/>
        <w:ind w:firstLine="420" w:firstLineChars="200"/>
        <w:jc w:val="both"/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当前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农业农村部办公厅印发《水果优质化发展推进工作方案》（农办质〔2025〕22 号），全国农技中心印发《全国水果优质化发展技术协作工作方案》（农技栽〔2026〕38 号），</w:t>
      </w:r>
      <w:r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全国水果优质化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工作持续推进</w:t>
      </w:r>
      <w:r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，农业农村部持续推进果品品种培优、品质提升、品牌打造与标准化生产，但国内尚无嘎啦苹果专用分级国家标准、行业标准，现有通用国标GB/T 10651-2008《鲜苹果》、GB/T 23616-2009《加工用苹果分级》适配苹果通用品类，无法匹配嘎啦早熟、条纹着色、中小果型、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皮薄</w:t>
      </w:r>
      <w:r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易伤、酸甜特质突出的品种独有属性；各地现行地方标准零散不一，分级指标、缺陷判定、理化阈值不统一，优质果与劣质果混级售卖、优质不优价，制约嘎啦苹果产业化、品牌化高质量发展。</w:t>
      </w:r>
    </w:p>
    <w:p w14:paraId="03B3EC69">
      <w:pPr>
        <w:spacing w:before="120" w:after="120" w:line="288" w:lineRule="auto"/>
        <w:ind w:left="0" w:firstLine="420" w:firstLineChars="200"/>
        <w:jc w:val="both"/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国内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国家标准</w:t>
      </w:r>
      <w:r>
        <w:rPr>
          <w:rFonts w:hint="default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NY/T 2637 果蔬可溶性固形物折射仪测定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、</w:t>
      </w:r>
      <w:r>
        <w:rPr>
          <w:rFonts w:hint="default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GB/T 23616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-2009</w:t>
      </w:r>
      <w:r>
        <w:rPr>
          <w:rFonts w:hint="default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加工用苹果分级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；行业标准</w:t>
      </w:r>
      <w:r>
        <w:rPr>
          <w:rFonts w:hint="default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NY/T 2316-2023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</w:t>
      </w:r>
      <w:r>
        <w:rPr>
          <w:rFonts w:hint="default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苹果品质指标评价规范</w:t>
      </w:r>
      <w:r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成熟团体标准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、</w:t>
      </w:r>
      <w:r>
        <w:rPr>
          <w:rFonts w:hint="default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NY/T 2637 果蔬可溶性固形物折射仪测定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；地方标准</w:t>
      </w:r>
      <w:r>
        <w:rPr>
          <w:rFonts w:hint="default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DB61/T 2096-2025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</w:t>
      </w:r>
      <w:r>
        <w:rPr>
          <w:rFonts w:hint="default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苹果分级规范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；团体标准T/CNCAIA 0009-2024静宁红富士苹果质量等级规格</w:t>
      </w:r>
      <w:r>
        <w:rPr>
          <w:rFonts w:hint="default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落地实施，为早熟嘎啦标准化编制提供成熟框架参考。为落实全国水果优质化工作部署，统一全国嘎啦苹果采收、收购、贮藏、流</w:t>
      </w:r>
      <w:r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通、深加工分级判定依据，规范全产业链质量管控，由全国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农技中心</w:t>
      </w:r>
      <w:r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提出立项，中国苹果产业协会归口立项，纳入协会年度团体标准编制计划，委托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西北农林科技大学</w:t>
      </w:r>
      <w:r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牵头组建起草工作组，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编制</w:t>
      </w:r>
      <w:r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《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嘎啦苹果等级和规格</w:t>
      </w:r>
      <w:r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》团体标准。</w:t>
      </w:r>
    </w:p>
    <w:p w14:paraId="1CF484AC">
      <w:pPr>
        <w:widowControl/>
        <w:spacing w:line="300" w:lineRule="auto"/>
        <w:ind w:firstLine="420" w:firstLineChars="200"/>
        <w:jc w:val="both"/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本标准立足全国多产区嘎啦生产实际，覆盖鲜食分级+加工分级两大板块，补齐国内嘎啦专用分级标准空白，引导产区标准化栽培、精细化分选，推动早熟苹果产业提质增效、品牌溢价，助力全国水果优质化落地见效。</w:t>
      </w:r>
    </w:p>
    <w:p w14:paraId="0FF97CA3">
      <w:pPr>
        <w:widowControl/>
        <w:spacing w:before="312" w:beforeLines="100" w:after="312" w:afterLines="100"/>
        <w:ind w:firstLine="420" w:firstLineChars="200"/>
        <w:jc w:val="left"/>
        <w:rPr>
          <w:rFonts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bidi="ar"/>
        </w:rPr>
      </w:pPr>
      <w:bookmarkStart w:id="1" w:name="heading_2"/>
      <w:r>
        <w:rPr>
          <w:rFonts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bidi="ar"/>
        </w:rPr>
        <w:t>（二）主要工作过程</w:t>
      </w:r>
      <w:bookmarkEnd w:id="1"/>
    </w:p>
    <w:p w14:paraId="1CFBB5B0">
      <w:pPr>
        <w:spacing w:before="120" w:after="120" w:line="288" w:lineRule="auto"/>
        <w:ind w:left="0" w:firstLine="422" w:firstLineChars="200"/>
        <w:jc w:val="left"/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</w:pPr>
      <w:bookmarkStart w:id="2" w:name="heading_3"/>
      <w:r>
        <w:rPr>
          <w:rFonts w:ascii="Times New Roman" w:hAnsi="Times New Roman" w:eastAsia="仿宋" w:cs="Times New Roman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  <w:t>1.起草阶段</w:t>
      </w:r>
      <w:bookmarkEnd w:id="2"/>
    </w:p>
    <w:p w14:paraId="796F49B8">
      <w:p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（1）项目立项组建起草组：2026年3月收到全国农技中心立项通知后，牵头单位联合</w:t>
      </w:r>
      <w:bookmarkStart w:id="3" w:name="OLE_LINK1"/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北京市农林科学院、中国农业科学院郑州果树研究所、大理大本农业科技有限公司</w:t>
      </w:r>
      <w:bookmarkEnd w:id="3"/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组建标准起草工作组，明确分工、编制进度计划，梳理标准整体框架。</w:t>
      </w:r>
    </w:p>
    <w:p w14:paraId="47F47510">
      <w:pPr>
        <w:spacing w:before="120" w:after="120" w:line="288" w:lineRule="auto"/>
        <w:ind w:left="0" w:firstLine="420" w:firstLineChars="200"/>
        <w:jc w:val="both"/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（2）资料搜集与实地调研：2025年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4</w:t>
      </w:r>
      <w:r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月，起草组系统查阅GB/T 10651、GB/T 23616、各产区苹果地方标准等国内外现行标准；赴陕西白水、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云南大理</w:t>
      </w:r>
      <w:r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等嘎啦核心产区实地走访果园、分选加工厂、生鲜批发市场，现场采集不同产区、不同成熟度嘎啦样品，开展理化指标实测，汇总生产端、收购端、加工端分级痛点数据。</w:t>
      </w:r>
    </w:p>
    <w:p w14:paraId="56044925">
      <w:pPr>
        <w:spacing w:before="120" w:after="120" w:line="288" w:lineRule="auto"/>
        <w:ind w:left="0" w:firstLine="420" w:firstLineChars="200"/>
        <w:jc w:val="both"/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（3）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2026年5月，</w:t>
      </w:r>
      <w:r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编制标准草稿、讨论稿：汇总实测数据与产业调研资料，参照红富士标准编制逻辑，区分嘎啦条红着色、中小果径、早熟果皮脆弱等品种特点，优化感官、理化、规格、容许度指标，组织行业专家、一线分选技术员召开研讨评审会，逐条修订技术内容，形成标准讨论稿。</w:t>
      </w:r>
    </w:p>
    <w:p w14:paraId="1C9CD891">
      <w:pPr>
        <w:spacing w:before="120" w:after="120" w:line="288" w:lineRule="auto"/>
        <w:ind w:left="0" w:firstLine="422" w:firstLineChars="200"/>
        <w:jc w:val="left"/>
        <w:rPr>
          <w:rFonts w:ascii="Times New Roman" w:hAnsi="Times New Roman" w:eastAsia="仿宋" w:cs="Times New Roman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</w:pPr>
      <w:bookmarkStart w:id="4" w:name="heading_4"/>
      <w:r>
        <w:rPr>
          <w:rFonts w:ascii="Times New Roman" w:hAnsi="Times New Roman" w:eastAsia="仿宋" w:cs="Times New Roman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  <w:t>2.征求意见阶段</w:t>
      </w:r>
      <w:bookmarkEnd w:id="4"/>
    </w:p>
    <w:p w14:paraId="0881A3B3">
      <w:pPr>
        <w:spacing w:before="120" w:after="120" w:line="288" w:lineRule="auto"/>
        <w:ind w:left="0" w:firstLine="420" w:firstLineChars="200"/>
        <w:jc w:val="left"/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无</w:t>
      </w:r>
      <w:r>
        <w:rPr>
          <w:rFonts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。</w:t>
      </w:r>
    </w:p>
    <w:p w14:paraId="39098DD3">
      <w:pPr>
        <w:spacing w:before="120" w:after="120" w:line="288" w:lineRule="auto"/>
        <w:ind w:left="0" w:firstLine="422" w:firstLineChars="200"/>
        <w:jc w:val="left"/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</w:pPr>
      <w:bookmarkStart w:id="5" w:name="heading_5"/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二、标准编制原则和确定主要内容的依据</w:t>
      </w:r>
      <w:bookmarkEnd w:id="5"/>
    </w:p>
    <w:p w14:paraId="4A50299B">
      <w:pPr>
        <w:widowControl/>
        <w:spacing w:before="312" w:beforeLines="100" w:after="312" w:afterLines="100" w:line="240" w:lineRule="auto"/>
        <w:ind w:left="0" w:firstLine="420" w:firstLineChars="200"/>
        <w:jc w:val="left"/>
        <w:rPr>
          <w:rFonts w:ascii="Times New Roman" w:hAnsi="Times New Roman" w:eastAsia="楷体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bookmarkStart w:id="6" w:name="heading_6"/>
      <w:r>
        <w:rPr>
          <w:rFonts w:ascii="Times New Roman" w:hAnsi="Times New Roman" w:eastAsia="楷体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（一）编制原则</w:t>
      </w:r>
      <w:bookmarkEnd w:id="6"/>
    </w:p>
    <w:p w14:paraId="36C009DA">
      <w:pPr>
        <w:spacing w:before="120" w:after="120" w:line="288" w:lineRule="auto"/>
        <w:ind w:left="0" w:firstLine="420" w:firstLineChars="200"/>
        <w:jc w:val="both"/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1. </w:t>
      </w:r>
      <w:r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先进性原则：对标国内苹果最新标准化技术要求与全国水果优质化政策导向，借鉴静宁红富士成熟分级技术，结合现代光电分选、无损糖度检测等新技术，指标设置优于通用国标，契合果品高端化、精品化发展趋势。</w:t>
      </w:r>
    </w:p>
    <w:p w14:paraId="6C9B05AF">
      <w:pPr>
        <w:spacing w:before="120" w:after="120" w:line="288" w:lineRule="auto"/>
        <w:ind w:left="0" w:firstLine="420" w:firstLineChars="200"/>
        <w:jc w:val="both"/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2. </w:t>
      </w:r>
      <w:r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适用性原则：立足全国多产区嘎啦种植气候、栽培模式差异，指标兼顾北方旱地嘎啦、南方高原嘎啦品质特点，缺陷判定、检测方法量化具象、通俗易懂，便于基层果农、分选工人落地执行，规避通用标准描述模糊、落地难的问题。</w:t>
      </w:r>
    </w:p>
    <w:p w14:paraId="7DC6F759">
      <w:pPr>
        <w:spacing w:before="120" w:after="120" w:line="288" w:lineRule="auto"/>
        <w:ind w:left="0" w:firstLine="420" w:firstLineChars="200"/>
        <w:jc w:val="both"/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3. </w:t>
      </w:r>
      <w:r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品种特色化原则：紧扣嘎啦早熟条红、中小果形、高桩圆锥形、酸甜适口、果皮薄易产生机械伤独有品种特征，单独定制着色判定规则、果径分级区间、缺陷限值，区别晚熟红富士分级体系。</w:t>
      </w:r>
    </w:p>
    <w:p w14:paraId="247CFAD5">
      <w:pPr>
        <w:spacing w:before="120" w:after="120" w:line="288" w:lineRule="auto"/>
        <w:ind w:left="0" w:firstLine="420" w:firstLineChars="200"/>
        <w:jc w:val="both"/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4. </w:t>
      </w:r>
      <w:r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创新性原则：细化早熟苹果储运损伤管控指标，区分鲜食/深加工双赛道分级，细化制汁、干制、发酵三类加工果专用指标；优化糖度、酸度现场快速检测方法，适配当前果品商品化分选新业态。</w:t>
      </w:r>
    </w:p>
    <w:p w14:paraId="6DE80265">
      <w:pPr>
        <w:spacing w:before="120" w:after="120" w:line="288" w:lineRule="auto"/>
        <w:ind w:left="0" w:firstLine="420" w:firstLineChars="200"/>
        <w:jc w:val="both"/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5. </w:t>
      </w:r>
      <w:r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系统性原则：完整覆盖基础要求、鲜食分级、加工分级、规格划分、容许度、试验方法、检验、包装储运全链条，与现行食品安全国标、苹果贮藏标准协调统一，形成完整规范体系。</w:t>
      </w:r>
    </w:p>
    <w:p w14:paraId="0541EB15">
      <w:pPr>
        <w:widowControl/>
        <w:spacing w:before="312" w:beforeLines="100" w:after="312" w:afterLines="100" w:line="240" w:lineRule="auto"/>
        <w:ind w:left="0" w:firstLine="420" w:firstLineChars="200"/>
        <w:jc w:val="left"/>
        <w:rPr>
          <w:rFonts w:ascii="Times New Roman" w:hAnsi="Times New Roman" w:eastAsia="楷体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bookmarkStart w:id="7" w:name="heading_7"/>
      <w:r>
        <w:rPr>
          <w:rFonts w:ascii="Times New Roman" w:hAnsi="Times New Roman" w:eastAsia="楷体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（二）主要内容的依据</w:t>
      </w:r>
      <w:bookmarkEnd w:id="7"/>
    </w:p>
    <w:p w14:paraId="05A506DD">
      <w:pPr>
        <w:spacing w:before="120" w:after="120" w:line="288" w:lineRule="auto"/>
        <w:ind w:firstLine="420" w:firstLineChars="200"/>
        <w:jc w:val="both"/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bookmarkStart w:id="8" w:name="heading_8"/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1. </w:t>
      </w:r>
      <w:r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范围</w:t>
      </w:r>
      <w:bookmarkEnd w:id="8"/>
    </w:p>
    <w:p w14:paraId="37C635E8">
      <w:pPr>
        <w:spacing w:before="120" w:after="120" w:line="288" w:lineRule="auto"/>
        <w:ind w:firstLine="42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bookmarkStart w:id="9" w:name="heading_9"/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本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文件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规定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了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全国产区嘎啦系苹果（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包括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皇家嘎啦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、大卫嘎啦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、米奇拉等）的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术语与定义、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质量要求、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容许度、试验方法、检验规则、采收、包装和外观、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标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志与标签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、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冷藏与运输等内容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。</w:t>
      </w:r>
    </w:p>
    <w:p w14:paraId="34784698">
      <w:pPr>
        <w:spacing w:before="120" w:after="120" w:line="288" w:lineRule="auto"/>
        <w:ind w:left="0" w:firstLine="42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本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文件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适用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于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国内各产区嘎啦苹果鲜食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及加工的生产、收购、贮藏、运输和销售。本文件所称鲜食苹果及加工苹果仅包括嘎啦品种。</w:t>
      </w:r>
    </w:p>
    <w:p w14:paraId="380D2262">
      <w:pPr>
        <w:numPr>
          <w:ilvl w:val="0"/>
          <w:numId w:val="0"/>
        </w:numPr>
        <w:spacing w:before="120" w:after="120" w:line="288" w:lineRule="auto"/>
        <w:ind w:firstLine="42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lang w:val="en-US" w:eastAsia="zh-CN" w:bidi="ar"/>
        </w:rPr>
        <w:t>2.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规范性引用文件</w:t>
      </w:r>
      <w:bookmarkEnd w:id="9"/>
    </w:p>
    <w:p w14:paraId="0B97A1CF">
      <w:p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引用GB/T 10651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-2008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鲜苹果；GB/T 23616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-2009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加工用苹果分级；NY/T 2316-2023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苹果品质指标评价规范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；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NY/T 2637 果蔬可溶性固形物折射仪测定；DB61/T 2096-2025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苹果分级规范等现行有效标准，试验方法同步对接国标检测规范。</w:t>
      </w:r>
    </w:p>
    <w:p w14:paraId="25DF5AA5">
      <w:pPr>
        <w:numPr>
          <w:ilvl w:val="-1"/>
          <w:numId w:val="0"/>
        </w:numPr>
        <w:spacing w:before="0" w:after="0" w:line="240" w:lineRule="auto"/>
        <w:ind w:left="0" w:leftChars="0" w:firstLine="0" w:firstLineChars="0"/>
        <w:jc w:val="left"/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lang w:val="en-US" w:eastAsia="zh-CN" w:bidi="ar"/>
        </w:rPr>
      </w:pPr>
      <w:bookmarkStart w:id="10" w:name="heading_10"/>
    </w:p>
    <w:p w14:paraId="31541C3E">
      <w:pPr>
        <w:numPr>
          <w:ilvl w:val="0"/>
          <w:numId w:val="0"/>
        </w:numPr>
        <w:spacing w:before="120" w:after="120" w:line="288" w:lineRule="auto"/>
        <w:ind w:left="0" w:leftChars="0" w:firstLine="420" w:firstLineChars="200"/>
        <w:jc w:val="both"/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lang w:val="en-US" w:eastAsia="zh-CN" w:bidi="ar"/>
        </w:rPr>
        <w:t>3.</w:t>
      </w:r>
      <w:r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术语和定义</w:t>
      </w:r>
      <w:bookmarkEnd w:id="10"/>
    </w:p>
    <w:p w14:paraId="5E4A6D36">
      <w:p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基础术语沿用GB/T 10651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中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标准定义，结合嘎啦品种特性补充细化专项术语：</w:t>
      </w:r>
    </w:p>
    <w:p w14:paraId="0E95C3C9">
      <w:p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（1）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对果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形指数、果径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做出规定：果形指数指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果实最大纵径/最大横径（mm）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，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果径</w:t>
      </w:r>
    </w:p>
    <w:p w14:paraId="082C6BAC">
      <w:p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指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果实最大横切面直径（mm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）。</w:t>
      </w:r>
    </w:p>
    <w:p w14:paraId="1FC9ABA1">
      <w:p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（2）条红有效着色为嘎啦特有定义：仅鲜红色连续/断续条纹计入有效着色，黄绿底色、淡褐色条纹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及青褐色条纹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不计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入有效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着色面积，区别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于红富士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片红判定逻辑；</w:t>
      </w:r>
    </w:p>
    <w:p w14:paraId="557AEA3D">
      <w:p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（3）对磨伤中的轻微磨伤做出详细规定：指细小（≤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5 mm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vertAlign w:val="superscript"/>
          <w:lang w:val="en-US" w:eastAsia="zh-CN" w:bidi="ar"/>
        </w:rPr>
        <w:t>2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）色浅不变黑的瑕疵或轻微薄层，细小（≤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5 mm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vertAlign w:val="superscript"/>
          <w:lang w:val="en-US" w:eastAsia="zh-CN" w:bidi="ar"/>
        </w:rPr>
        <w:t>2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）浅色的痕迹可作果锈处理。</w:t>
      </w:r>
    </w:p>
    <w:p w14:paraId="436AF577">
      <w:pPr>
        <w:widowControl/>
        <w:spacing w:line="300" w:lineRule="auto"/>
        <w:ind w:firstLine="420" w:firstLineChars="200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（4）对果锈的分类做出更详细的规定（增加条状锈斑和点状锈斑）：果锈主要分为片状锈斑、网状浅层锈斑、条状锈斑及点状锈斑。片状锈斑是指果面上形成的大小不等、形状不规整的浅褐色轻微粗糙的连片锈斑，≤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25 mm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vertAlign w:val="superscript"/>
          <w:lang w:val="en-US" w:eastAsia="zh-CN" w:bidi="ar"/>
        </w:rPr>
        <w:t>2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时作点状锈斑；网状浅层锈斑是指在果面上分布的平滑的网状浅层锈斑；条状锈斑是指贯穿或不贯穿果面的未成网状的浅层锈斑，宽度≤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2 mm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，</w:t>
      </w:r>
      <w:r>
        <w:rPr>
          <w:rFonts w:hint="eastAsia" w:ascii="Times New Roman" w:hAnsi="Times New Roman" w:eastAsia="微软雅黑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2 mm时作片锈处理，条状锈斑多为纵向分布；点状锈斑是指均匀分布在果面、未成网状的浅层锈斑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， 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25 mm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vertAlign w:val="superscript"/>
          <w:lang w:val="en-US" w:eastAsia="zh-CN" w:bidi="ar"/>
        </w:rPr>
        <w:t>2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时作片锈处理。</w:t>
      </w:r>
    </w:p>
    <w:p w14:paraId="32D0A1A3">
      <w:pPr>
        <w:spacing w:before="120" w:after="120" w:line="288" w:lineRule="auto"/>
        <w:ind w:left="0" w:firstLine="420" w:firstLineChars="200"/>
        <w:jc w:val="left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bookmarkStart w:id="11" w:name="heading_12"/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4. 质量要求</w:t>
      </w:r>
    </w:p>
    <w:bookmarkEnd w:id="11"/>
    <w:p w14:paraId="02F890F3">
      <w:pPr>
        <w:widowControl/>
        <w:spacing w:line="300" w:lineRule="auto"/>
        <w:ind w:firstLine="420" w:firstLineChars="200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bookmarkStart w:id="12" w:name="heading_15"/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质量要求包括基本要求、等级划分、规格划分，除基本要求外，等级划分和规格划分均进一步细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分为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鲜食苹果和加工苹果两类。</w:t>
      </w:r>
    </w:p>
    <w:p w14:paraId="09C51596">
      <w:pPr>
        <w:widowControl/>
        <w:spacing w:line="300" w:lineRule="auto"/>
        <w:ind w:firstLine="420" w:firstLineChars="200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（1）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基本要求主要参考了GB/T 10651《鲜苹果》、GB/T 23616《加工用苹果分级》中的相关描述，并对生产区域及品种做出进一步规定。</w:t>
      </w:r>
    </w:p>
    <w:p w14:paraId="18E8A4A7">
      <w:pPr>
        <w:widowControl/>
        <w:spacing w:line="300" w:lineRule="auto"/>
        <w:ind w:firstLine="420" w:firstLineChars="200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（2）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等级划分分为鲜食苹果和加工苹果两类。</w:t>
      </w:r>
    </w:p>
    <w:p w14:paraId="43FD876E">
      <w:pPr>
        <w:widowControl/>
        <w:spacing w:line="300" w:lineRule="auto"/>
        <w:ind w:firstLine="420" w:firstLineChars="200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（3）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鲜食苹果等级划分为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精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品、一等品、二等品、等外品四个等级，并应符合表1的要求。</w:t>
      </w:r>
    </w:p>
    <w:p w14:paraId="4F073816">
      <w:pPr>
        <w:pStyle w:val="5"/>
        <w:numPr>
          <w:ilvl w:val="0"/>
          <w:numId w:val="0"/>
        </w:numPr>
        <w:spacing w:before="156" w:after="156"/>
        <w:ind w:left="640"/>
        <w:rPr>
          <w:rFonts w:ascii="Times New Roman"/>
          <w:b w:val="0"/>
          <w:bCs w:val="0"/>
          <w:color w:val="auto"/>
          <w:sz w:val="20"/>
          <w:highlight w:val="none"/>
        </w:rPr>
      </w:pPr>
      <w:r>
        <w:rPr>
          <w:rFonts w:ascii="Times New Roman"/>
          <w:b w:val="0"/>
          <w:bCs w:val="0"/>
          <w:color w:val="auto"/>
          <w:sz w:val="20"/>
          <w:highlight w:val="none"/>
        </w:rPr>
        <w:t>表1 鲜食苹果等级要求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4"/>
        <w:gridCol w:w="1669"/>
        <w:gridCol w:w="1669"/>
        <w:gridCol w:w="1999"/>
        <w:gridCol w:w="1670"/>
      </w:tblGrid>
      <w:tr w14:paraId="1707C87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531" w:type="dxa"/>
            <w:shd w:val="clear" w:color="auto" w:fill="D9EAF7"/>
            <w:vAlign w:val="center"/>
          </w:tcPr>
          <w:p w14:paraId="75EB9798">
            <w:pPr>
              <w:spacing w:after="0"/>
              <w:jc w:val="center"/>
            </w:pPr>
            <w:r>
              <w:rPr>
                <w:b/>
                <w:sz w:val="16"/>
              </w:rPr>
              <w:t>项目</w:t>
            </w:r>
          </w:p>
        </w:tc>
        <w:tc>
          <w:tcPr>
            <w:tcW w:w="1701" w:type="dxa"/>
            <w:shd w:val="clear" w:color="auto" w:fill="D9EAF7"/>
            <w:vAlign w:val="center"/>
          </w:tcPr>
          <w:p w14:paraId="6A239C33">
            <w:pPr>
              <w:spacing w:after="0"/>
              <w:jc w:val="center"/>
            </w:pPr>
            <w:r>
              <w:rPr>
                <w:b/>
                <w:sz w:val="16"/>
              </w:rPr>
              <w:t>精品果</w:t>
            </w:r>
          </w:p>
        </w:tc>
        <w:tc>
          <w:tcPr>
            <w:tcW w:w="1701" w:type="dxa"/>
            <w:shd w:val="clear" w:color="auto" w:fill="D9EAF7"/>
            <w:vAlign w:val="center"/>
          </w:tcPr>
          <w:p w14:paraId="732C512D">
            <w:pPr>
              <w:spacing w:after="0"/>
              <w:jc w:val="center"/>
            </w:pPr>
            <w:r>
              <w:rPr>
                <w:b/>
                <w:sz w:val="16"/>
              </w:rPr>
              <w:t>一等果</w:t>
            </w:r>
          </w:p>
        </w:tc>
        <w:tc>
          <w:tcPr>
            <w:tcW w:w="2041" w:type="dxa"/>
            <w:shd w:val="clear" w:color="auto" w:fill="D9EAF7"/>
            <w:vAlign w:val="center"/>
          </w:tcPr>
          <w:p w14:paraId="063326D5">
            <w:pPr>
              <w:spacing w:after="0"/>
              <w:jc w:val="center"/>
            </w:pPr>
            <w:r>
              <w:rPr>
                <w:b/>
                <w:sz w:val="16"/>
              </w:rPr>
              <w:t>二等果</w:t>
            </w:r>
          </w:p>
        </w:tc>
        <w:tc>
          <w:tcPr>
            <w:tcW w:w="1701" w:type="dxa"/>
            <w:shd w:val="clear" w:color="auto" w:fill="D9EAF7"/>
            <w:vAlign w:val="center"/>
          </w:tcPr>
          <w:p w14:paraId="73657A0A">
            <w:pPr>
              <w:spacing w:after="0"/>
              <w:jc w:val="center"/>
            </w:pPr>
            <w:r>
              <w:rPr>
                <w:b/>
                <w:sz w:val="16"/>
              </w:rPr>
              <w:t>等外果</w:t>
            </w:r>
          </w:p>
        </w:tc>
      </w:tr>
      <w:tr w14:paraId="49ED18A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31" w:type="dxa"/>
            <w:vAlign w:val="center"/>
          </w:tcPr>
          <w:p w14:paraId="20A280BB">
            <w:pPr>
              <w:spacing w:after="0"/>
              <w:jc w:val="center"/>
            </w:pPr>
            <w:r>
              <w:rPr>
                <w:b/>
                <w:sz w:val="14"/>
              </w:rPr>
              <w:t>果形</w:t>
            </w:r>
          </w:p>
        </w:tc>
        <w:tc>
          <w:tcPr>
            <w:tcW w:w="1701" w:type="dxa"/>
            <w:vAlign w:val="center"/>
          </w:tcPr>
          <w:p w14:paraId="1531574F">
            <w:pPr>
              <w:spacing w:after="0"/>
              <w:jc w:val="center"/>
              <w:rPr>
                <w:lang w:eastAsia="zh-CN"/>
              </w:rPr>
            </w:pPr>
            <w:r>
              <w:rPr>
                <w:sz w:val="14"/>
                <w:lang w:eastAsia="zh-CN"/>
              </w:rPr>
              <w:t>具有本品种应有的特征，果形端正</w:t>
            </w:r>
          </w:p>
        </w:tc>
        <w:tc>
          <w:tcPr>
            <w:tcW w:w="1701" w:type="dxa"/>
            <w:vAlign w:val="center"/>
          </w:tcPr>
          <w:p w14:paraId="20EF2F38">
            <w:pPr>
              <w:spacing w:after="0"/>
              <w:jc w:val="center"/>
              <w:rPr>
                <w:lang w:eastAsia="zh-CN"/>
              </w:rPr>
            </w:pPr>
            <w:r>
              <w:rPr>
                <w:sz w:val="14"/>
                <w:lang w:eastAsia="zh-CN"/>
              </w:rPr>
              <w:t>具有本品种应有的特征</w:t>
            </w:r>
          </w:p>
        </w:tc>
        <w:tc>
          <w:tcPr>
            <w:tcW w:w="2041" w:type="dxa"/>
            <w:vAlign w:val="center"/>
          </w:tcPr>
          <w:p w14:paraId="12F32FB1">
            <w:pPr>
              <w:spacing w:after="0"/>
              <w:jc w:val="center"/>
              <w:rPr>
                <w:lang w:eastAsia="zh-CN"/>
              </w:rPr>
            </w:pPr>
            <w:r>
              <w:rPr>
                <w:sz w:val="14"/>
                <w:lang w:eastAsia="zh-CN"/>
              </w:rPr>
              <w:t>允许果肩最大高低差≤0.5 cm；允许轻微偏斜</w:t>
            </w:r>
          </w:p>
        </w:tc>
        <w:tc>
          <w:tcPr>
            <w:tcW w:w="1701" w:type="dxa"/>
            <w:vAlign w:val="center"/>
          </w:tcPr>
          <w:p w14:paraId="1679638F">
            <w:pPr>
              <w:spacing w:after="0"/>
              <w:jc w:val="center"/>
            </w:pPr>
            <w:r>
              <w:rPr>
                <w:sz w:val="14"/>
              </w:rPr>
              <w:t>不做要求</w:t>
            </w:r>
          </w:p>
        </w:tc>
      </w:tr>
      <w:tr w14:paraId="05B23B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31" w:type="dxa"/>
            <w:vAlign w:val="center"/>
          </w:tcPr>
          <w:p w14:paraId="27D77EE2">
            <w:pPr>
              <w:spacing w:after="0"/>
              <w:jc w:val="center"/>
            </w:pPr>
            <w:r>
              <w:rPr>
                <w:b/>
                <w:sz w:val="14"/>
              </w:rPr>
              <w:t>果形指数</w:t>
            </w:r>
          </w:p>
        </w:tc>
        <w:tc>
          <w:tcPr>
            <w:tcW w:w="1701" w:type="dxa"/>
            <w:vAlign w:val="center"/>
          </w:tcPr>
          <w:p w14:paraId="112B7122">
            <w:pPr>
              <w:spacing w:after="0"/>
              <w:jc w:val="center"/>
            </w:pPr>
            <w:r>
              <w:rPr>
                <w:sz w:val="14"/>
              </w:rPr>
              <w:t>0.85</w:t>
            </w:r>
            <w:r>
              <w:rPr>
                <w:rFonts w:hint="eastAsia" w:ascii="微软雅黑" w:hAnsi="微软雅黑" w:eastAsia="微软雅黑"/>
                <w:sz w:val="14"/>
              </w:rPr>
              <w:t>～</w:t>
            </w:r>
            <w:r>
              <w:rPr>
                <w:sz w:val="14"/>
              </w:rPr>
              <w:t>＜0.95</w:t>
            </w:r>
          </w:p>
        </w:tc>
        <w:tc>
          <w:tcPr>
            <w:tcW w:w="1701" w:type="dxa"/>
            <w:vAlign w:val="center"/>
          </w:tcPr>
          <w:p w14:paraId="4A9FCE56">
            <w:pPr>
              <w:spacing w:after="0"/>
              <w:jc w:val="center"/>
            </w:pPr>
            <w:r>
              <w:rPr>
                <w:sz w:val="14"/>
              </w:rPr>
              <w:t>0.85</w:t>
            </w:r>
            <w:r>
              <w:rPr>
                <w:rFonts w:hint="eastAsia" w:ascii="微软雅黑" w:hAnsi="微软雅黑" w:eastAsia="微软雅黑"/>
                <w:sz w:val="14"/>
              </w:rPr>
              <w:t>～</w:t>
            </w:r>
            <w:r>
              <w:rPr>
                <w:sz w:val="14"/>
              </w:rPr>
              <w:t>＜0.95</w:t>
            </w:r>
          </w:p>
        </w:tc>
        <w:tc>
          <w:tcPr>
            <w:tcW w:w="2041" w:type="dxa"/>
            <w:vAlign w:val="center"/>
          </w:tcPr>
          <w:p w14:paraId="6FBBA0CA">
            <w:pPr>
              <w:spacing w:after="0"/>
              <w:jc w:val="center"/>
            </w:pPr>
            <w:r>
              <w:rPr>
                <w:sz w:val="14"/>
              </w:rPr>
              <w:t>0.80</w:t>
            </w:r>
            <w:r>
              <w:rPr>
                <w:rFonts w:hint="eastAsia" w:ascii="微软雅黑" w:hAnsi="微软雅黑" w:eastAsia="微软雅黑"/>
                <w:sz w:val="14"/>
              </w:rPr>
              <w:t>～</w:t>
            </w:r>
            <w:r>
              <w:rPr>
                <w:sz w:val="14"/>
              </w:rPr>
              <w:t>＜0.95</w:t>
            </w:r>
          </w:p>
        </w:tc>
        <w:tc>
          <w:tcPr>
            <w:tcW w:w="1701" w:type="dxa"/>
            <w:vAlign w:val="center"/>
          </w:tcPr>
          <w:p w14:paraId="0C1466A3">
            <w:pPr>
              <w:spacing w:after="0"/>
              <w:jc w:val="center"/>
            </w:pPr>
            <w:r>
              <w:rPr>
                <w:sz w:val="14"/>
              </w:rPr>
              <w:t>不做要求</w:t>
            </w:r>
          </w:p>
        </w:tc>
      </w:tr>
      <w:tr w14:paraId="09E601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31" w:type="dxa"/>
            <w:vAlign w:val="center"/>
          </w:tcPr>
          <w:p w14:paraId="219EB7FD">
            <w:pPr>
              <w:spacing w:after="0"/>
              <w:jc w:val="center"/>
            </w:pPr>
            <w:r>
              <w:rPr>
                <w:b/>
                <w:sz w:val="14"/>
              </w:rPr>
              <w:t>着色</w:t>
            </w:r>
          </w:p>
        </w:tc>
        <w:tc>
          <w:tcPr>
            <w:tcW w:w="1701" w:type="dxa"/>
            <w:vAlign w:val="center"/>
          </w:tcPr>
          <w:p w14:paraId="61053442">
            <w:pPr>
              <w:spacing w:after="0"/>
              <w:jc w:val="center"/>
              <w:rPr>
                <w:lang w:eastAsia="zh-CN"/>
              </w:rPr>
            </w:pPr>
            <w:r>
              <w:rPr>
                <w:sz w:val="14"/>
                <w:lang w:eastAsia="zh-CN"/>
              </w:rPr>
              <w:t>条纹着色鲜明，有效着色面积≥85%</w:t>
            </w:r>
          </w:p>
        </w:tc>
        <w:tc>
          <w:tcPr>
            <w:tcW w:w="1701" w:type="dxa"/>
            <w:vAlign w:val="center"/>
          </w:tcPr>
          <w:p w14:paraId="1FB2AF88">
            <w:pPr>
              <w:spacing w:after="0"/>
              <w:jc w:val="center"/>
              <w:rPr>
                <w:lang w:eastAsia="zh-CN"/>
              </w:rPr>
            </w:pPr>
            <w:r>
              <w:rPr>
                <w:sz w:val="14"/>
                <w:lang w:eastAsia="zh-CN"/>
              </w:rPr>
              <w:t>条纹着色较鲜明，有效着色面积≥70%</w:t>
            </w:r>
          </w:p>
        </w:tc>
        <w:tc>
          <w:tcPr>
            <w:tcW w:w="2041" w:type="dxa"/>
            <w:vAlign w:val="center"/>
          </w:tcPr>
          <w:p w14:paraId="2504A8EF">
            <w:pPr>
              <w:spacing w:after="0"/>
              <w:jc w:val="center"/>
            </w:pPr>
            <w:r>
              <w:rPr>
                <w:sz w:val="14"/>
              </w:rPr>
              <w:t>有效着色面积≥60%</w:t>
            </w:r>
          </w:p>
        </w:tc>
        <w:tc>
          <w:tcPr>
            <w:tcW w:w="1701" w:type="dxa"/>
            <w:vAlign w:val="center"/>
          </w:tcPr>
          <w:p w14:paraId="3ED198F7">
            <w:pPr>
              <w:spacing w:after="0"/>
              <w:jc w:val="center"/>
            </w:pPr>
            <w:r>
              <w:rPr>
                <w:sz w:val="14"/>
              </w:rPr>
              <w:t>不做要求</w:t>
            </w:r>
          </w:p>
        </w:tc>
      </w:tr>
      <w:tr w14:paraId="3445A63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31" w:type="dxa"/>
            <w:vAlign w:val="center"/>
          </w:tcPr>
          <w:p w14:paraId="57DF75DA">
            <w:pPr>
              <w:spacing w:after="0"/>
              <w:jc w:val="center"/>
            </w:pPr>
            <w:r>
              <w:rPr>
                <w:b/>
                <w:sz w:val="14"/>
              </w:rPr>
              <w:t>果梗</w:t>
            </w:r>
          </w:p>
        </w:tc>
        <w:tc>
          <w:tcPr>
            <w:tcW w:w="1701" w:type="dxa"/>
            <w:vAlign w:val="center"/>
          </w:tcPr>
          <w:p w14:paraId="32B9135F">
            <w:pPr>
              <w:spacing w:after="0"/>
              <w:jc w:val="center"/>
              <w:rPr>
                <w:lang w:eastAsia="zh-CN"/>
              </w:rPr>
            </w:pPr>
            <w:r>
              <w:rPr>
                <w:sz w:val="14"/>
                <w:lang w:eastAsia="zh-CN"/>
              </w:rPr>
              <w:t>带有果梗（商品化处理造成的果梗缺省除外）</w:t>
            </w:r>
          </w:p>
        </w:tc>
        <w:tc>
          <w:tcPr>
            <w:tcW w:w="1701" w:type="dxa"/>
            <w:vAlign w:val="center"/>
          </w:tcPr>
          <w:p w14:paraId="012901ED">
            <w:pPr>
              <w:spacing w:after="0"/>
              <w:jc w:val="center"/>
              <w:rPr>
                <w:lang w:eastAsia="zh-CN"/>
              </w:rPr>
            </w:pPr>
            <w:r>
              <w:rPr>
                <w:sz w:val="14"/>
                <w:lang w:eastAsia="zh-CN"/>
              </w:rPr>
              <w:t>带有果梗（商品化处理造成的果梗缺省除外）</w:t>
            </w:r>
          </w:p>
        </w:tc>
        <w:tc>
          <w:tcPr>
            <w:tcW w:w="2041" w:type="dxa"/>
            <w:vAlign w:val="center"/>
          </w:tcPr>
          <w:p w14:paraId="1D3B8F7B">
            <w:pPr>
              <w:spacing w:after="0"/>
              <w:jc w:val="center"/>
              <w:rPr>
                <w:lang w:eastAsia="zh-CN"/>
              </w:rPr>
            </w:pPr>
            <w:r>
              <w:rPr>
                <w:sz w:val="14"/>
                <w:lang w:eastAsia="zh-CN"/>
              </w:rPr>
              <w:t>带有果梗（商品化处理造成的果梗缺省除外）</w:t>
            </w:r>
          </w:p>
        </w:tc>
        <w:tc>
          <w:tcPr>
            <w:tcW w:w="1701" w:type="dxa"/>
            <w:vAlign w:val="center"/>
          </w:tcPr>
          <w:p w14:paraId="10FC25DF">
            <w:pPr>
              <w:spacing w:after="0"/>
              <w:jc w:val="center"/>
            </w:pPr>
            <w:r>
              <w:rPr>
                <w:sz w:val="14"/>
              </w:rPr>
              <w:t>不做要求</w:t>
            </w:r>
          </w:p>
        </w:tc>
      </w:tr>
      <w:tr w14:paraId="117A2C6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31" w:type="dxa"/>
            <w:vAlign w:val="center"/>
          </w:tcPr>
          <w:p w14:paraId="6F06E8D4">
            <w:pPr>
              <w:spacing w:after="0"/>
              <w:jc w:val="center"/>
            </w:pPr>
            <w:r>
              <w:rPr>
                <w:b/>
                <w:sz w:val="14"/>
              </w:rPr>
              <w:t>碰压伤</w:t>
            </w:r>
          </w:p>
        </w:tc>
        <w:tc>
          <w:tcPr>
            <w:tcW w:w="1701" w:type="dxa"/>
            <w:vAlign w:val="center"/>
          </w:tcPr>
          <w:p w14:paraId="771F08D5">
            <w:pPr>
              <w:spacing w:after="0"/>
              <w:jc w:val="center"/>
            </w:pPr>
            <w:r>
              <w:rPr>
                <w:sz w:val="14"/>
              </w:rPr>
              <w:t>无</w:t>
            </w:r>
          </w:p>
        </w:tc>
        <w:tc>
          <w:tcPr>
            <w:tcW w:w="1701" w:type="dxa"/>
            <w:vAlign w:val="center"/>
          </w:tcPr>
          <w:p w14:paraId="7CA2C6B1">
            <w:pPr>
              <w:spacing w:after="0"/>
              <w:jc w:val="center"/>
            </w:pPr>
            <w:r>
              <w:rPr>
                <w:sz w:val="14"/>
              </w:rPr>
              <w:t>无</w:t>
            </w:r>
          </w:p>
        </w:tc>
        <w:tc>
          <w:tcPr>
            <w:tcW w:w="2041" w:type="dxa"/>
            <w:vAlign w:val="center"/>
          </w:tcPr>
          <w:p w14:paraId="0BAD6320">
            <w:pPr>
              <w:spacing w:after="0"/>
              <w:jc w:val="center"/>
              <w:rPr>
                <w:lang w:eastAsia="zh-CN"/>
              </w:rPr>
            </w:pPr>
            <w:r>
              <w:rPr>
                <w:sz w:val="14"/>
                <w:lang w:eastAsia="zh-CN"/>
              </w:rPr>
              <w:t>允许轻微碰压伤1处，果皮不变褐，面积≤0.5 cm²</w:t>
            </w:r>
          </w:p>
        </w:tc>
        <w:tc>
          <w:tcPr>
            <w:tcW w:w="1701" w:type="dxa"/>
            <w:vAlign w:val="center"/>
          </w:tcPr>
          <w:p w14:paraId="15C0689E">
            <w:pPr>
              <w:spacing w:after="0"/>
              <w:jc w:val="center"/>
              <w:rPr>
                <w:lang w:eastAsia="zh-CN"/>
              </w:rPr>
            </w:pPr>
            <w:r>
              <w:rPr>
                <w:sz w:val="14"/>
                <w:lang w:eastAsia="zh-CN"/>
              </w:rPr>
              <w:t>允许轻微碰压伤，面积≤1.0 cm²</w:t>
            </w:r>
          </w:p>
        </w:tc>
      </w:tr>
      <w:tr w14:paraId="77264D6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31" w:type="dxa"/>
            <w:vAlign w:val="center"/>
          </w:tcPr>
          <w:p w14:paraId="170604F9">
            <w:pPr>
              <w:spacing w:after="0"/>
              <w:jc w:val="center"/>
            </w:pPr>
            <w:r>
              <w:rPr>
                <w:b/>
                <w:sz w:val="14"/>
              </w:rPr>
              <w:t>磨伤</w:t>
            </w:r>
          </w:p>
        </w:tc>
        <w:tc>
          <w:tcPr>
            <w:tcW w:w="1701" w:type="dxa"/>
            <w:vAlign w:val="center"/>
          </w:tcPr>
          <w:p w14:paraId="5CF9759C">
            <w:pPr>
              <w:spacing w:after="0"/>
              <w:jc w:val="center"/>
            </w:pPr>
            <w:r>
              <w:rPr>
                <w:sz w:val="14"/>
              </w:rPr>
              <w:t>无</w:t>
            </w:r>
          </w:p>
        </w:tc>
        <w:tc>
          <w:tcPr>
            <w:tcW w:w="1701" w:type="dxa"/>
            <w:vAlign w:val="center"/>
          </w:tcPr>
          <w:p w14:paraId="6921C181">
            <w:pPr>
              <w:spacing w:after="0"/>
              <w:jc w:val="center"/>
            </w:pPr>
            <w:r>
              <w:rPr>
                <w:sz w:val="14"/>
              </w:rPr>
              <w:t>无</w:t>
            </w:r>
          </w:p>
        </w:tc>
        <w:tc>
          <w:tcPr>
            <w:tcW w:w="2041" w:type="dxa"/>
            <w:vAlign w:val="center"/>
          </w:tcPr>
          <w:p w14:paraId="4F0957EA">
            <w:pPr>
              <w:spacing w:after="0"/>
              <w:jc w:val="center"/>
              <w:rPr>
                <w:lang w:eastAsia="zh-CN"/>
              </w:rPr>
            </w:pPr>
            <w:r>
              <w:rPr>
                <w:sz w:val="14"/>
                <w:lang w:eastAsia="zh-CN"/>
              </w:rPr>
              <w:t>允许轻微磨伤1处，面积≤0.5 cm²</w:t>
            </w:r>
          </w:p>
        </w:tc>
        <w:tc>
          <w:tcPr>
            <w:tcW w:w="1701" w:type="dxa"/>
            <w:vAlign w:val="center"/>
          </w:tcPr>
          <w:p w14:paraId="347E94FC">
            <w:pPr>
              <w:spacing w:after="0"/>
              <w:jc w:val="center"/>
              <w:rPr>
                <w:lang w:eastAsia="zh-CN"/>
              </w:rPr>
            </w:pPr>
            <w:r>
              <w:rPr>
                <w:sz w:val="14"/>
                <w:lang w:eastAsia="zh-CN"/>
              </w:rPr>
              <w:t>允许轻微磨伤2处，总面积≤1.0 cm²</w:t>
            </w:r>
          </w:p>
        </w:tc>
      </w:tr>
      <w:tr w14:paraId="221E690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31" w:type="dxa"/>
            <w:vAlign w:val="center"/>
          </w:tcPr>
          <w:p w14:paraId="1373672B">
            <w:pPr>
              <w:spacing w:after="0"/>
              <w:jc w:val="center"/>
            </w:pPr>
            <w:r>
              <w:rPr>
                <w:b/>
                <w:sz w:val="14"/>
              </w:rPr>
              <w:t>日灼</w:t>
            </w:r>
          </w:p>
        </w:tc>
        <w:tc>
          <w:tcPr>
            <w:tcW w:w="1701" w:type="dxa"/>
            <w:vAlign w:val="center"/>
          </w:tcPr>
          <w:p w14:paraId="4D49A9DF">
            <w:pPr>
              <w:spacing w:after="0"/>
              <w:jc w:val="center"/>
            </w:pPr>
            <w:r>
              <w:rPr>
                <w:sz w:val="14"/>
              </w:rPr>
              <w:t>无</w:t>
            </w:r>
          </w:p>
        </w:tc>
        <w:tc>
          <w:tcPr>
            <w:tcW w:w="1701" w:type="dxa"/>
            <w:vAlign w:val="center"/>
          </w:tcPr>
          <w:p w14:paraId="1E06B445">
            <w:pPr>
              <w:spacing w:after="0"/>
              <w:jc w:val="center"/>
            </w:pPr>
            <w:r>
              <w:rPr>
                <w:sz w:val="14"/>
              </w:rPr>
              <w:t>无</w:t>
            </w:r>
          </w:p>
        </w:tc>
        <w:tc>
          <w:tcPr>
            <w:tcW w:w="2041" w:type="dxa"/>
            <w:vAlign w:val="center"/>
          </w:tcPr>
          <w:p w14:paraId="023E6FE5">
            <w:pPr>
              <w:spacing w:after="0"/>
              <w:jc w:val="center"/>
              <w:rPr>
                <w:lang w:eastAsia="zh-CN"/>
              </w:rPr>
            </w:pPr>
            <w:r>
              <w:rPr>
                <w:sz w:val="14"/>
                <w:lang w:eastAsia="zh-CN"/>
              </w:rPr>
              <w:t>允许浅褐色或褐色轻微日灼，面积≤1.0 cm²</w:t>
            </w:r>
          </w:p>
        </w:tc>
        <w:tc>
          <w:tcPr>
            <w:tcW w:w="1701" w:type="dxa"/>
            <w:vAlign w:val="center"/>
          </w:tcPr>
          <w:p w14:paraId="305759D7">
            <w:pPr>
              <w:spacing w:after="0"/>
              <w:jc w:val="center"/>
            </w:pPr>
            <w:r>
              <w:rPr>
                <w:sz w:val="14"/>
              </w:rPr>
              <w:t>不做要求</w:t>
            </w:r>
          </w:p>
        </w:tc>
      </w:tr>
      <w:tr w14:paraId="5110F68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31" w:type="dxa"/>
            <w:vAlign w:val="center"/>
          </w:tcPr>
          <w:p w14:paraId="03B0B6F9">
            <w:pPr>
              <w:spacing w:after="0"/>
              <w:jc w:val="center"/>
            </w:pPr>
            <w:r>
              <w:rPr>
                <w:b/>
                <w:sz w:val="14"/>
              </w:rPr>
              <w:t>雹伤</w:t>
            </w:r>
          </w:p>
        </w:tc>
        <w:tc>
          <w:tcPr>
            <w:tcW w:w="1701" w:type="dxa"/>
            <w:vAlign w:val="center"/>
          </w:tcPr>
          <w:p w14:paraId="2D68181E">
            <w:pPr>
              <w:spacing w:after="0"/>
              <w:jc w:val="center"/>
            </w:pPr>
            <w:r>
              <w:rPr>
                <w:sz w:val="14"/>
              </w:rPr>
              <w:t>无</w:t>
            </w:r>
          </w:p>
        </w:tc>
        <w:tc>
          <w:tcPr>
            <w:tcW w:w="1701" w:type="dxa"/>
            <w:vAlign w:val="center"/>
          </w:tcPr>
          <w:p w14:paraId="0D721071">
            <w:pPr>
              <w:spacing w:after="0"/>
              <w:jc w:val="center"/>
            </w:pPr>
            <w:r>
              <w:rPr>
                <w:sz w:val="14"/>
              </w:rPr>
              <w:t>无</w:t>
            </w:r>
          </w:p>
        </w:tc>
        <w:tc>
          <w:tcPr>
            <w:tcW w:w="2041" w:type="dxa"/>
            <w:vAlign w:val="center"/>
          </w:tcPr>
          <w:p w14:paraId="6BED74D9">
            <w:pPr>
              <w:spacing w:after="0"/>
              <w:jc w:val="center"/>
              <w:rPr>
                <w:lang w:eastAsia="zh-CN"/>
              </w:rPr>
            </w:pPr>
            <w:r>
              <w:rPr>
                <w:sz w:val="14"/>
                <w:lang w:eastAsia="zh-CN"/>
              </w:rPr>
              <w:t>允许愈合良好的轻微雹伤≤3处，总面积≤1.0 cm²</w:t>
            </w:r>
          </w:p>
        </w:tc>
        <w:tc>
          <w:tcPr>
            <w:tcW w:w="1701" w:type="dxa"/>
            <w:vAlign w:val="center"/>
          </w:tcPr>
          <w:p w14:paraId="0FA892B6">
            <w:pPr>
              <w:spacing w:after="0"/>
              <w:jc w:val="center"/>
              <w:rPr>
                <w:lang w:eastAsia="zh-CN"/>
              </w:rPr>
            </w:pPr>
            <w:r>
              <w:rPr>
                <w:sz w:val="14"/>
                <w:lang w:eastAsia="zh-CN"/>
              </w:rPr>
              <w:t>允许愈合良好的轻微雹伤</w:t>
            </w:r>
          </w:p>
        </w:tc>
      </w:tr>
      <w:tr w14:paraId="3F45473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31" w:type="dxa"/>
            <w:vAlign w:val="center"/>
          </w:tcPr>
          <w:p w14:paraId="12CF8665">
            <w:pPr>
              <w:spacing w:after="0"/>
              <w:jc w:val="center"/>
            </w:pPr>
            <w:r>
              <w:rPr>
                <w:b/>
                <w:sz w:val="14"/>
              </w:rPr>
              <w:t>裂果</w:t>
            </w:r>
          </w:p>
        </w:tc>
        <w:tc>
          <w:tcPr>
            <w:tcW w:w="1701" w:type="dxa"/>
            <w:vAlign w:val="center"/>
          </w:tcPr>
          <w:p w14:paraId="3E639E3E">
            <w:pPr>
              <w:spacing w:after="0"/>
              <w:jc w:val="center"/>
            </w:pPr>
            <w:r>
              <w:rPr>
                <w:sz w:val="14"/>
              </w:rPr>
              <w:t>无</w:t>
            </w:r>
          </w:p>
        </w:tc>
        <w:tc>
          <w:tcPr>
            <w:tcW w:w="1701" w:type="dxa"/>
            <w:vAlign w:val="center"/>
          </w:tcPr>
          <w:p w14:paraId="0EBA8A4A">
            <w:pPr>
              <w:spacing w:after="0"/>
              <w:jc w:val="center"/>
            </w:pPr>
            <w:r>
              <w:rPr>
                <w:sz w:val="14"/>
              </w:rPr>
              <w:t>无</w:t>
            </w:r>
          </w:p>
        </w:tc>
        <w:tc>
          <w:tcPr>
            <w:tcW w:w="2041" w:type="dxa"/>
            <w:vAlign w:val="center"/>
          </w:tcPr>
          <w:p w14:paraId="25580397">
            <w:pPr>
              <w:spacing w:after="0"/>
              <w:jc w:val="center"/>
            </w:pPr>
            <w:r>
              <w:rPr>
                <w:sz w:val="14"/>
              </w:rPr>
              <w:t>无</w:t>
            </w:r>
          </w:p>
        </w:tc>
        <w:tc>
          <w:tcPr>
            <w:tcW w:w="1701" w:type="dxa"/>
            <w:vAlign w:val="center"/>
          </w:tcPr>
          <w:p w14:paraId="3C8E6F01">
            <w:pPr>
              <w:spacing w:after="0"/>
              <w:jc w:val="center"/>
              <w:rPr>
                <w:lang w:eastAsia="zh-CN"/>
              </w:rPr>
            </w:pPr>
            <w:r>
              <w:rPr>
                <w:sz w:val="14"/>
                <w:lang w:eastAsia="zh-CN"/>
              </w:rPr>
              <w:t>允许梗洼或萼洼有1处长度≤2 cm的裂纹</w:t>
            </w:r>
          </w:p>
        </w:tc>
      </w:tr>
      <w:tr w14:paraId="6A3E4F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31" w:type="dxa"/>
            <w:vAlign w:val="center"/>
          </w:tcPr>
          <w:p w14:paraId="5FC9D841">
            <w:pPr>
              <w:spacing w:after="0"/>
              <w:jc w:val="center"/>
            </w:pPr>
            <w:r>
              <w:rPr>
                <w:b/>
                <w:sz w:val="14"/>
              </w:rPr>
              <w:t>虫伤</w:t>
            </w:r>
          </w:p>
        </w:tc>
        <w:tc>
          <w:tcPr>
            <w:tcW w:w="1701" w:type="dxa"/>
            <w:vAlign w:val="center"/>
          </w:tcPr>
          <w:p w14:paraId="5D7A1632">
            <w:pPr>
              <w:spacing w:after="0"/>
              <w:jc w:val="center"/>
            </w:pPr>
            <w:r>
              <w:rPr>
                <w:sz w:val="14"/>
              </w:rPr>
              <w:t>无</w:t>
            </w:r>
          </w:p>
        </w:tc>
        <w:tc>
          <w:tcPr>
            <w:tcW w:w="1701" w:type="dxa"/>
            <w:vAlign w:val="center"/>
          </w:tcPr>
          <w:p w14:paraId="2FB25B2D">
            <w:pPr>
              <w:spacing w:after="0"/>
              <w:jc w:val="center"/>
            </w:pPr>
            <w:r>
              <w:rPr>
                <w:sz w:val="14"/>
              </w:rPr>
              <w:t>无</w:t>
            </w:r>
          </w:p>
        </w:tc>
        <w:tc>
          <w:tcPr>
            <w:tcW w:w="2041" w:type="dxa"/>
            <w:vAlign w:val="center"/>
          </w:tcPr>
          <w:p w14:paraId="68608D1C">
            <w:pPr>
              <w:spacing w:after="0"/>
              <w:jc w:val="center"/>
              <w:rPr>
                <w:lang w:eastAsia="zh-CN"/>
              </w:rPr>
            </w:pPr>
            <w:r>
              <w:rPr>
                <w:sz w:val="14"/>
                <w:lang w:eastAsia="zh-CN"/>
              </w:rPr>
              <w:t>允许干枯虫伤，总面积≤1.0 cm²</w:t>
            </w:r>
          </w:p>
        </w:tc>
        <w:tc>
          <w:tcPr>
            <w:tcW w:w="1701" w:type="dxa"/>
            <w:vAlign w:val="center"/>
          </w:tcPr>
          <w:p w14:paraId="5B125B1D">
            <w:pPr>
              <w:spacing w:after="0"/>
              <w:jc w:val="center"/>
              <w:rPr>
                <w:lang w:eastAsia="zh-CN"/>
              </w:rPr>
            </w:pPr>
            <w:r>
              <w:rPr>
                <w:sz w:val="14"/>
                <w:lang w:eastAsia="zh-CN"/>
              </w:rPr>
              <w:t>允许干枯虫伤，不得有明显虫体或排泄物</w:t>
            </w:r>
          </w:p>
        </w:tc>
      </w:tr>
      <w:tr w14:paraId="7498582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31" w:type="dxa"/>
            <w:vAlign w:val="center"/>
          </w:tcPr>
          <w:p w14:paraId="7380F8F9">
            <w:pPr>
              <w:spacing w:after="0"/>
              <w:jc w:val="center"/>
            </w:pPr>
            <w:r>
              <w:rPr>
                <w:b/>
                <w:sz w:val="14"/>
              </w:rPr>
              <w:t>其他小疵点</w:t>
            </w:r>
          </w:p>
        </w:tc>
        <w:tc>
          <w:tcPr>
            <w:tcW w:w="1701" w:type="dxa"/>
            <w:vAlign w:val="center"/>
          </w:tcPr>
          <w:p w14:paraId="35DC587A">
            <w:pPr>
              <w:spacing w:after="0"/>
              <w:jc w:val="center"/>
            </w:pPr>
            <w:r>
              <w:rPr>
                <w:sz w:val="14"/>
              </w:rPr>
              <w:t>无</w:t>
            </w:r>
          </w:p>
        </w:tc>
        <w:tc>
          <w:tcPr>
            <w:tcW w:w="1701" w:type="dxa"/>
            <w:vAlign w:val="center"/>
          </w:tcPr>
          <w:p w14:paraId="613B0913">
            <w:pPr>
              <w:spacing w:after="0"/>
              <w:jc w:val="center"/>
            </w:pPr>
            <w:r>
              <w:rPr>
                <w:sz w:val="14"/>
              </w:rPr>
              <w:t>无</w:t>
            </w:r>
          </w:p>
        </w:tc>
        <w:tc>
          <w:tcPr>
            <w:tcW w:w="2041" w:type="dxa"/>
            <w:vAlign w:val="center"/>
          </w:tcPr>
          <w:p w14:paraId="30D8060E">
            <w:pPr>
              <w:spacing w:after="0"/>
              <w:jc w:val="center"/>
              <w:rPr>
                <w:lang w:eastAsia="zh-CN"/>
              </w:rPr>
            </w:pPr>
            <w:r>
              <w:rPr>
                <w:sz w:val="14"/>
                <w:lang w:eastAsia="zh-CN"/>
              </w:rPr>
              <w:t>允许小疵点、小红点、小黑点和风裂纹总数≤3个</w:t>
            </w:r>
          </w:p>
        </w:tc>
        <w:tc>
          <w:tcPr>
            <w:tcW w:w="1701" w:type="dxa"/>
            <w:vAlign w:val="center"/>
          </w:tcPr>
          <w:p w14:paraId="6A6D0CFE">
            <w:pPr>
              <w:spacing w:after="0"/>
              <w:jc w:val="center"/>
              <w:rPr>
                <w:lang w:eastAsia="zh-CN"/>
              </w:rPr>
            </w:pPr>
            <w:r>
              <w:rPr>
                <w:sz w:val="14"/>
                <w:lang w:eastAsia="zh-CN"/>
              </w:rPr>
              <w:t>允许小疵点、小红点、小黑点和风裂纹总数≤6个</w:t>
            </w:r>
          </w:p>
        </w:tc>
      </w:tr>
      <w:tr w14:paraId="1271017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31" w:type="dxa"/>
            <w:vAlign w:val="center"/>
          </w:tcPr>
          <w:p w14:paraId="137B590B">
            <w:pPr>
              <w:spacing w:after="0"/>
              <w:jc w:val="center"/>
            </w:pPr>
            <w:r>
              <w:rPr>
                <w:b/>
                <w:sz w:val="14"/>
              </w:rPr>
              <w:t>病虫果</w:t>
            </w:r>
          </w:p>
        </w:tc>
        <w:tc>
          <w:tcPr>
            <w:tcW w:w="1701" w:type="dxa"/>
            <w:vAlign w:val="center"/>
          </w:tcPr>
          <w:p w14:paraId="7E13B25D">
            <w:pPr>
              <w:spacing w:after="0"/>
              <w:jc w:val="center"/>
            </w:pPr>
            <w:r>
              <w:rPr>
                <w:sz w:val="14"/>
              </w:rPr>
              <w:t>无</w:t>
            </w:r>
          </w:p>
        </w:tc>
        <w:tc>
          <w:tcPr>
            <w:tcW w:w="1701" w:type="dxa"/>
            <w:vAlign w:val="center"/>
          </w:tcPr>
          <w:p w14:paraId="54AEA2E7">
            <w:pPr>
              <w:spacing w:after="0"/>
              <w:jc w:val="center"/>
            </w:pPr>
            <w:r>
              <w:rPr>
                <w:sz w:val="14"/>
              </w:rPr>
              <w:t>无</w:t>
            </w:r>
          </w:p>
        </w:tc>
        <w:tc>
          <w:tcPr>
            <w:tcW w:w="2041" w:type="dxa"/>
            <w:vAlign w:val="center"/>
          </w:tcPr>
          <w:p w14:paraId="4AAC6157">
            <w:pPr>
              <w:spacing w:after="0"/>
              <w:jc w:val="center"/>
            </w:pPr>
            <w:r>
              <w:rPr>
                <w:sz w:val="14"/>
              </w:rPr>
              <w:t>无</w:t>
            </w:r>
          </w:p>
        </w:tc>
        <w:tc>
          <w:tcPr>
            <w:tcW w:w="1701" w:type="dxa"/>
            <w:vAlign w:val="center"/>
          </w:tcPr>
          <w:p w14:paraId="521F363F">
            <w:pPr>
              <w:spacing w:after="0"/>
              <w:jc w:val="center"/>
            </w:pPr>
            <w:r>
              <w:rPr>
                <w:sz w:val="14"/>
              </w:rPr>
              <w:t>无</w:t>
            </w:r>
          </w:p>
        </w:tc>
      </w:tr>
      <w:tr w14:paraId="7F52956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31" w:type="dxa"/>
            <w:vAlign w:val="center"/>
          </w:tcPr>
          <w:p w14:paraId="14518E91">
            <w:pPr>
              <w:spacing w:after="0"/>
              <w:jc w:val="center"/>
            </w:pPr>
            <w:r>
              <w:rPr>
                <w:b/>
                <w:sz w:val="14"/>
              </w:rPr>
              <w:t>果锈</w:t>
            </w:r>
          </w:p>
        </w:tc>
        <w:tc>
          <w:tcPr>
            <w:tcW w:w="1701" w:type="dxa"/>
            <w:vAlign w:val="center"/>
          </w:tcPr>
          <w:p w14:paraId="17D718D6">
            <w:pPr>
              <w:spacing w:after="0"/>
              <w:jc w:val="center"/>
              <w:rPr>
                <w:lang w:eastAsia="zh-CN"/>
              </w:rPr>
            </w:pPr>
            <w:r>
              <w:rPr>
                <w:sz w:val="14"/>
                <w:lang w:eastAsia="zh-CN"/>
              </w:rPr>
              <w:t>允许轻微而分离、不明显的平滑网状锈斑，总面积≤果面的1/20</w:t>
            </w:r>
          </w:p>
        </w:tc>
        <w:tc>
          <w:tcPr>
            <w:tcW w:w="1701" w:type="dxa"/>
            <w:vAlign w:val="center"/>
          </w:tcPr>
          <w:p w14:paraId="31E07A26">
            <w:pPr>
              <w:spacing w:after="0"/>
              <w:jc w:val="center"/>
              <w:rPr>
                <w:lang w:eastAsia="zh-CN"/>
              </w:rPr>
            </w:pPr>
            <w:r>
              <w:rPr>
                <w:sz w:val="14"/>
                <w:lang w:eastAsia="zh-CN"/>
              </w:rPr>
              <w:t>允许梗洼或萼洼轻微锈斑；允许果面轻微平滑网状锈斑，总面积≤果面的1/10</w:t>
            </w:r>
          </w:p>
        </w:tc>
        <w:tc>
          <w:tcPr>
            <w:tcW w:w="2041" w:type="dxa"/>
            <w:vAlign w:val="center"/>
          </w:tcPr>
          <w:p w14:paraId="0BBAC452">
            <w:pPr>
              <w:spacing w:after="0"/>
              <w:jc w:val="center"/>
              <w:rPr>
                <w:lang w:eastAsia="zh-CN"/>
              </w:rPr>
            </w:pPr>
            <w:r>
              <w:rPr>
                <w:sz w:val="14"/>
                <w:lang w:eastAsia="zh-CN"/>
              </w:rPr>
              <w:t>允许较轻锈斑，总面积≤果面的1/5</w:t>
            </w:r>
          </w:p>
        </w:tc>
        <w:tc>
          <w:tcPr>
            <w:tcW w:w="1701" w:type="dxa"/>
            <w:vAlign w:val="center"/>
          </w:tcPr>
          <w:p w14:paraId="170A4054">
            <w:pPr>
              <w:spacing w:after="0"/>
              <w:jc w:val="center"/>
            </w:pPr>
            <w:r>
              <w:rPr>
                <w:sz w:val="14"/>
              </w:rPr>
              <w:t>不做要求</w:t>
            </w:r>
          </w:p>
        </w:tc>
      </w:tr>
      <w:tr w14:paraId="658AA8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31" w:type="dxa"/>
            <w:vAlign w:val="center"/>
          </w:tcPr>
          <w:p w14:paraId="1E39934A">
            <w:pPr>
              <w:spacing w:after="0"/>
              <w:jc w:val="center"/>
            </w:pPr>
            <w:r>
              <w:rPr>
                <w:b/>
                <w:sz w:val="14"/>
              </w:rPr>
              <w:t>果实硬度</w:t>
            </w:r>
            <w:r>
              <w:rPr>
                <w:rFonts w:hint="eastAsia" w:ascii="宋体" w:hAnsi="宋体" w:eastAsia="宋体" w:cs="宋体"/>
                <w:b/>
                <w:sz w:val="14"/>
                <w:lang w:eastAsia="zh-CN"/>
              </w:rPr>
              <w:t>（</w:t>
            </w:r>
            <w:r>
              <w:rPr>
                <w:b/>
                <w:sz w:val="14"/>
              </w:rPr>
              <w:t xml:space="preserve"> kg/cm²</w:t>
            </w:r>
            <w:r>
              <w:rPr>
                <w:rFonts w:hint="eastAsia" w:ascii="宋体" w:hAnsi="宋体" w:eastAsia="宋体" w:cs="宋体"/>
                <w:b/>
                <w:sz w:val="14"/>
                <w:lang w:eastAsia="zh-CN"/>
              </w:rPr>
              <w:t>）</w:t>
            </w:r>
          </w:p>
        </w:tc>
        <w:tc>
          <w:tcPr>
            <w:tcW w:w="1701" w:type="dxa"/>
            <w:vAlign w:val="center"/>
          </w:tcPr>
          <w:p w14:paraId="21D44AD6">
            <w:pPr>
              <w:spacing w:after="0"/>
              <w:jc w:val="center"/>
            </w:pPr>
            <w:r>
              <w:rPr>
                <w:sz w:val="14"/>
              </w:rPr>
              <w:t>≥7.0</w:t>
            </w:r>
          </w:p>
        </w:tc>
        <w:tc>
          <w:tcPr>
            <w:tcW w:w="1701" w:type="dxa"/>
            <w:vAlign w:val="center"/>
          </w:tcPr>
          <w:p w14:paraId="6847BC1F">
            <w:pPr>
              <w:spacing w:after="0"/>
              <w:jc w:val="center"/>
            </w:pPr>
            <w:r>
              <w:rPr>
                <w:sz w:val="14"/>
              </w:rPr>
              <w:t>≥6.5</w:t>
            </w:r>
          </w:p>
        </w:tc>
        <w:tc>
          <w:tcPr>
            <w:tcW w:w="2041" w:type="dxa"/>
            <w:vAlign w:val="center"/>
          </w:tcPr>
          <w:p w14:paraId="2308DCF0">
            <w:pPr>
              <w:spacing w:after="0"/>
              <w:jc w:val="center"/>
            </w:pPr>
            <w:r>
              <w:rPr>
                <w:sz w:val="14"/>
              </w:rPr>
              <w:t>≥6.0</w:t>
            </w:r>
          </w:p>
        </w:tc>
        <w:tc>
          <w:tcPr>
            <w:tcW w:w="1701" w:type="dxa"/>
            <w:vAlign w:val="center"/>
          </w:tcPr>
          <w:p w14:paraId="26109757">
            <w:pPr>
              <w:spacing w:after="0"/>
              <w:jc w:val="center"/>
            </w:pPr>
            <w:r>
              <w:rPr>
                <w:sz w:val="14"/>
              </w:rPr>
              <w:t>≥5.5</w:t>
            </w:r>
          </w:p>
        </w:tc>
      </w:tr>
      <w:tr w14:paraId="4A5813A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31" w:type="dxa"/>
            <w:vAlign w:val="center"/>
          </w:tcPr>
          <w:p w14:paraId="1366135F">
            <w:pPr>
              <w:spacing w:after="0"/>
              <w:jc w:val="center"/>
            </w:pPr>
            <w:r>
              <w:rPr>
                <w:b/>
                <w:sz w:val="14"/>
              </w:rPr>
              <w:t>可溶性固形物含量</w:t>
            </w:r>
            <w:r>
              <w:rPr>
                <w:rFonts w:hint="eastAsia" w:ascii="宋体" w:hAnsi="宋体" w:eastAsia="宋体" w:cs="宋体"/>
                <w:b/>
                <w:sz w:val="14"/>
                <w:lang w:eastAsia="zh-CN"/>
              </w:rPr>
              <w:t>（</w:t>
            </w:r>
            <w:r>
              <w:rPr>
                <w:b/>
                <w:sz w:val="14"/>
              </w:rPr>
              <w:t>%</w:t>
            </w:r>
            <w:r>
              <w:rPr>
                <w:rFonts w:hint="eastAsia" w:ascii="宋体" w:hAnsi="宋体" w:eastAsia="宋体" w:cs="宋体"/>
                <w:b/>
                <w:sz w:val="14"/>
                <w:lang w:eastAsia="zh-CN"/>
              </w:rPr>
              <w:t>）</w:t>
            </w:r>
          </w:p>
        </w:tc>
        <w:tc>
          <w:tcPr>
            <w:tcW w:w="1701" w:type="dxa"/>
            <w:vAlign w:val="center"/>
          </w:tcPr>
          <w:p w14:paraId="4E01CEBF">
            <w:pPr>
              <w:spacing w:after="0"/>
              <w:jc w:val="center"/>
            </w:pPr>
            <w:r>
              <w:rPr>
                <w:sz w:val="14"/>
              </w:rPr>
              <w:t>≥13.0</w:t>
            </w:r>
          </w:p>
        </w:tc>
        <w:tc>
          <w:tcPr>
            <w:tcW w:w="1701" w:type="dxa"/>
            <w:vAlign w:val="center"/>
          </w:tcPr>
          <w:p w14:paraId="366547CF">
            <w:pPr>
              <w:spacing w:after="0"/>
              <w:jc w:val="center"/>
            </w:pPr>
            <w:r>
              <w:rPr>
                <w:sz w:val="14"/>
              </w:rPr>
              <w:t>≥13.0</w:t>
            </w:r>
          </w:p>
        </w:tc>
        <w:tc>
          <w:tcPr>
            <w:tcW w:w="2041" w:type="dxa"/>
            <w:vAlign w:val="center"/>
          </w:tcPr>
          <w:p w14:paraId="6680A28B">
            <w:pPr>
              <w:spacing w:after="0"/>
              <w:jc w:val="center"/>
            </w:pPr>
            <w:r>
              <w:rPr>
                <w:sz w:val="14"/>
              </w:rPr>
              <w:t>≥12.0</w:t>
            </w:r>
          </w:p>
        </w:tc>
        <w:tc>
          <w:tcPr>
            <w:tcW w:w="1701" w:type="dxa"/>
            <w:vAlign w:val="center"/>
          </w:tcPr>
          <w:p w14:paraId="6FE8A03C">
            <w:pPr>
              <w:spacing w:after="0"/>
              <w:jc w:val="center"/>
            </w:pPr>
            <w:r>
              <w:rPr>
                <w:sz w:val="14"/>
              </w:rPr>
              <w:t>≥12.0</w:t>
            </w:r>
          </w:p>
        </w:tc>
      </w:tr>
      <w:tr w14:paraId="0C04BA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31" w:type="dxa"/>
            <w:vAlign w:val="center"/>
          </w:tcPr>
          <w:p w14:paraId="2FF70998">
            <w:pPr>
              <w:spacing w:after="0"/>
              <w:jc w:val="center"/>
            </w:pPr>
            <w:r>
              <w:rPr>
                <w:b/>
                <w:sz w:val="14"/>
              </w:rPr>
              <w:t>可滴定酸</w:t>
            </w:r>
            <w:r>
              <w:rPr>
                <w:rFonts w:hint="eastAsia" w:ascii="宋体" w:hAnsi="宋体" w:eastAsia="宋体" w:cs="宋体"/>
                <w:b/>
                <w:sz w:val="14"/>
                <w:lang w:eastAsia="zh-CN"/>
              </w:rPr>
              <w:t>（</w:t>
            </w:r>
            <w:r>
              <w:rPr>
                <w:b/>
                <w:sz w:val="14"/>
              </w:rPr>
              <w:t xml:space="preserve"> %</w:t>
            </w:r>
            <w:r>
              <w:rPr>
                <w:rFonts w:hint="eastAsia" w:ascii="宋体" w:hAnsi="宋体" w:eastAsia="宋体" w:cs="宋体"/>
                <w:b/>
                <w:sz w:val="14"/>
                <w:lang w:eastAsia="zh-CN"/>
              </w:rPr>
              <w:t>）</w:t>
            </w:r>
          </w:p>
        </w:tc>
        <w:tc>
          <w:tcPr>
            <w:tcW w:w="1701" w:type="dxa"/>
            <w:vAlign w:val="center"/>
          </w:tcPr>
          <w:p w14:paraId="3337E5D6">
            <w:pPr>
              <w:spacing w:after="0"/>
              <w:jc w:val="center"/>
            </w:pPr>
            <w:r>
              <w:rPr>
                <w:sz w:val="14"/>
              </w:rPr>
              <w:t>0.25</w:t>
            </w:r>
            <w:r>
              <w:rPr>
                <w:rFonts w:hint="eastAsia" w:ascii="微软雅黑" w:hAnsi="微软雅黑" w:eastAsia="微软雅黑"/>
                <w:sz w:val="14"/>
              </w:rPr>
              <w:t>～</w:t>
            </w:r>
            <w:r>
              <w:rPr>
                <w:sz w:val="14"/>
              </w:rPr>
              <w:t>≤0.32</w:t>
            </w:r>
          </w:p>
        </w:tc>
        <w:tc>
          <w:tcPr>
            <w:tcW w:w="1701" w:type="dxa"/>
            <w:vAlign w:val="center"/>
          </w:tcPr>
          <w:p w14:paraId="0278FF83">
            <w:pPr>
              <w:spacing w:after="0"/>
              <w:jc w:val="center"/>
            </w:pPr>
            <w:r>
              <w:rPr>
                <w:sz w:val="14"/>
              </w:rPr>
              <w:t>0.25</w:t>
            </w:r>
            <w:r>
              <w:rPr>
                <w:rFonts w:hint="eastAsia" w:ascii="微软雅黑" w:hAnsi="微软雅黑" w:eastAsia="微软雅黑"/>
                <w:sz w:val="14"/>
              </w:rPr>
              <w:t>～</w:t>
            </w:r>
            <w:r>
              <w:rPr>
                <w:sz w:val="14"/>
              </w:rPr>
              <w:t>≤0.36</w:t>
            </w:r>
          </w:p>
        </w:tc>
        <w:tc>
          <w:tcPr>
            <w:tcW w:w="2041" w:type="dxa"/>
            <w:vAlign w:val="center"/>
          </w:tcPr>
          <w:p w14:paraId="76EF03FA">
            <w:pPr>
              <w:spacing w:after="0"/>
              <w:jc w:val="center"/>
            </w:pPr>
            <w:r>
              <w:rPr>
                <w:sz w:val="14"/>
              </w:rPr>
              <w:t>0.25</w:t>
            </w:r>
            <w:r>
              <w:rPr>
                <w:rFonts w:hint="eastAsia" w:ascii="微软雅黑" w:hAnsi="微软雅黑" w:eastAsia="微软雅黑"/>
                <w:sz w:val="14"/>
              </w:rPr>
              <w:t>～</w:t>
            </w:r>
            <w:r>
              <w:rPr>
                <w:sz w:val="14"/>
              </w:rPr>
              <w:t>≤0.40</w:t>
            </w:r>
          </w:p>
        </w:tc>
        <w:tc>
          <w:tcPr>
            <w:tcW w:w="1701" w:type="dxa"/>
            <w:vAlign w:val="center"/>
          </w:tcPr>
          <w:p w14:paraId="4A788149">
            <w:pPr>
              <w:spacing w:after="0"/>
              <w:jc w:val="center"/>
            </w:pPr>
            <w:r>
              <w:rPr>
                <w:sz w:val="14"/>
              </w:rPr>
              <w:t>0.25</w:t>
            </w:r>
            <w:r>
              <w:rPr>
                <w:rFonts w:hint="eastAsia" w:ascii="微软雅黑" w:hAnsi="微软雅黑" w:eastAsia="微软雅黑"/>
                <w:sz w:val="14"/>
              </w:rPr>
              <w:t>～</w:t>
            </w:r>
            <w:r>
              <w:rPr>
                <w:sz w:val="14"/>
              </w:rPr>
              <w:t>≤0.45</w:t>
            </w:r>
          </w:p>
        </w:tc>
      </w:tr>
      <w:tr w14:paraId="6421486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31" w:type="dxa"/>
            <w:vAlign w:val="center"/>
          </w:tcPr>
          <w:p w14:paraId="2C80A478">
            <w:pPr>
              <w:spacing w:after="0"/>
              <w:jc w:val="center"/>
            </w:pPr>
            <w:r>
              <w:rPr>
                <w:b/>
                <w:sz w:val="14"/>
              </w:rPr>
              <w:t>固酸比</w:t>
            </w:r>
          </w:p>
        </w:tc>
        <w:tc>
          <w:tcPr>
            <w:tcW w:w="1701" w:type="dxa"/>
            <w:vAlign w:val="center"/>
          </w:tcPr>
          <w:p w14:paraId="5E326BAE">
            <w:pPr>
              <w:spacing w:after="0"/>
              <w:jc w:val="center"/>
            </w:pPr>
            <w:r>
              <w:rPr>
                <w:sz w:val="14"/>
              </w:rPr>
              <w:t>≥40</w:t>
            </w:r>
          </w:p>
        </w:tc>
        <w:tc>
          <w:tcPr>
            <w:tcW w:w="1701" w:type="dxa"/>
            <w:vAlign w:val="center"/>
          </w:tcPr>
          <w:p w14:paraId="4F59D51E">
            <w:pPr>
              <w:spacing w:after="0"/>
              <w:jc w:val="center"/>
            </w:pPr>
            <w:r>
              <w:rPr>
                <w:sz w:val="14"/>
              </w:rPr>
              <w:t>≥36</w:t>
            </w:r>
          </w:p>
        </w:tc>
        <w:tc>
          <w:tcPr>
            <w:tcW w:w="2041" w:type="dxa"/>
            <w:vAlign w:val="center"/>
          </w:tcPr>
          <w:p w14:paraId="4451B0BF">
            <w:pPr>
              <w:spacing w:after="0"/>
              <w:jc w:val="center"/>
            </w:pPr>
            <w:r>
              <w:rPr>
                <w:sz w:val="14"/>
              </w:rPr>
              <w:t>≥30</w:t>
            </w:r>
          </w:p>
        </w:tc>
        <w:tc>
          <w:tcPr>
            <w:tcW w:w="1701" w:type="dxa"/>
            <w:vAlign w:val="center"/>
          </w:tcPr>
          <w:p w14:paraId="0CF668DB">
            <w:pPr>
              <w:spacing w:after="0"/>
              <w:jc w:val="center"/>
            </w:pPr>
            <w:r>
              <w:rPr>
                <w:sz w:val="14"/>
              </w:rPr>
              <w:t>不做要求</w:t>
            </w:r>
          </w:p>
        </w:tc>
      </w:tr>
    </w:tbl>
    <w:p w14:paraId="4CAFC654">
      <w:pPr>
        <w:spacing w:before="120" w:after="120" w:line="288" w:lineRule="auto"/>
        <w:ind w:left="0" w:firstLine="40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 w:bidi="ar"/>
        </w:rPr>
        <w:t>注1：精品果规格应同时满足 L（大）及以上的要求。</w:t>
      </w:r>
    </w:p>
    <w:p w14:paraId="4BF9C22E">
      <w:pPr>
        <w:spacing w:before="120" w:after="120" w:line="288" w:lineRule="auto"/>
        <w:ind w:left="0" w:firstLine="40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 w:bidi="ar"/>
        </w:rPr>
        <w:t>注2：其他小疵点指单个直径不超过 3 mm 的表面轻微瑕疵；超过该限值的，按相应缺陷判定。</w:t>
      </w:r>
    </w:p>
    <w:p w14:paraId="6C5A4FDA">
      <w:p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（4）加工用苹果等级划分：主要为鲜食苹果二等果及等外果，分为制汁液/浆、制干和发酵三类，应符合表2的要求。</w:t>
      </w:r>
    </w:p>
    <w:p w14:paraId="2C244FA8">
      <w:pPr>
        <w:spacing w:before="120" w:after="120" w:line="288" w:lineRule="auto"/>
        <w:ind w:left="0" w:firstLine="400" w:firstLineChars="200"/>
        <w:jc w:val="center"/>
        <w:rPr>
          <w:rFonts w:hint="eastAsia" w:ascii="黑体" w:hAnsi="黑体" w:eastAsia="黑体" w:cs="黑体"/>
          <w:b w:val="0"/>
          <w:bCs w:val="0"/>
          <w:color w:val="auto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0"/>
          <w:szCs w:val="20"/>
          <w:highlight w:val="none"/>
          <w:lang w:val="en-US" w:eastAsia="zh-CN" w:bidi="ar"/>
        </w:rPr>
        <w:t>表2 嘎拉</w:t>
      </w: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20"/>
          <w:szCs w:val="20"/>
          <w:highlight w:val="none"/>
          <w:lang w:val="en-US" w:eastAsia="zh-CN" w:bidi="ar-SA"/>
        </w:rPr>
        <w:t>加工</w:t>
      </w: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0"/>
          <w:szCs w:val="20"/>
          <w:highlight w:val="none"/>
          <w:lang w:val="en-US" w:eastAsia="zh-CN" w:bidi="ar"/>
        </w:rPr>
        <w:t>用苹果质量要求</w:t>
      </w:r>
    </w:p>
    <w:tbl>
      <w:tblPr>
        <w:tblStyle w:val="2"/>
        <w:tblW w:w="8537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5"/>
        <w:gridCol w:w="2129"/>
        <w:gridCol w:w="2133"/>
        <w:gridCol w:w="2130"/>
      </w:tblGrid>
      <w:tr w14:paraId="46DE90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2" w:hRule="atLeast"/>
          <w:tblHeader/>
          <w:jc w:val="center"/>
        </w:trPr>
        <w:tc>
          <w:tcPr>
            <w:tcW w:w="2145" w:type="dxa"/>
            <w:shd w:val="clear" w:color="auto" w:fill="D9EAF7"/>
            <w:vAlign w:val="center"/>
          </w:tcPr>
          <w:p w14:paraId="55E6EE83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项目</w:t>
            </w:r>
          </w:p>
        </w:tc>
        <w:tc>
          <w:tcPr>
            <w:tcW w:w="2129" w:type="dxa"/>
            <w:shd w:val="clear" w:color="auto" w:fill="D9EAF7"/>
            <w:vAlign w:val="center"/>
          </w:tcPr>
          <w:p w14:paraId="1758F660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制汁/浆用苹果</w:t>
            </w:r>
          </w:p>
        </w:tc>
        <w:tc>
          <w:tcPr>
            <w:tcW w:w="2133" w:type="dxa"/>
            <w:shd w:val="clear" w:color="auto" w:fill="D9EAF7"/>
            <w:vAlign w:val="center"/>
          </w:tcPr>
          <w:p w14:paraId="4AF09219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制干用苹果</w:t>
            </w:r>
          </w:p>
        </w:tc>
        <w:tc>
          <w:tcPr>
            <w:tcW w:w="2130" w:type="dxa"/>
            <w:shd w:val="clear" w:color="auto" w:fill="D9EAF7"/>
            <w:vAlign w:val="center"/>
          </w:tcPr>
          <w:p w14:paraId="0A219F07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发酵用苹果</w:t>
            </w:r>
          </w:p>
        </w:tc>
      </w:tr>
      <w:tr w14:paraId="31E3892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" w:hRule="atLeast"/>
          <w:jc w:val="center"/>
        </w:trPr>
        <w:tc>
          <w:tcPr>
            <w:tcW w:w="2145" w:type="dxa"/>
            <w:vAlign w:val="center"/>
          </w:tcPr>
          <w:p w14:paraId="634C31DB">
            <w:pPr>
              <w:spacing w:after="0"/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出汁率</w:t>
            </w:r>
            <w:r>
              <w:rPr>
                <w:rFonts w:hint="eastAsia" w:ascii="宋体" w:hAnsi="宋体" w:eastAsia="宋体" w:cs="宋体"/>
                <w:b/>
                <w:sz w:val="14"/>
                <w:szCs w:val="14"/>
                <w:lang w:eastAsia="zh-CN"/>
              </w:rPr>
              <w:t>（</w:t>
            </w:r>
            <w:r>
              <w:rPr>
                <w:b/>
                <w:sz w:val="14"/>
                <w:szCs w:val="14"/>
              </w:rPr>
              <w:t>%</w:t>
            </w:r>
            <w:r>
              <w:rPr>
                <w:rFonts w:hint="eastAsia" w:ascii="宋体" w:hAnsi="宋体" w:eastAsia="宋体" w:cs="宋体"/>
                <w:b/>
                <w:sz w:val="14"/>
                <w:szCs w:val="14"/>
                <w:lang w:eastAsia="zh-CN"/>
              </w:rPr>
              <w:t>）</w:t>
            </w:r>
          </w:p>
        </w:tc>
        <w:tc>
          <w:tcPr>
            <w:tcW w:w="2129" w:type="dxa"/>
            <w:vAlign w:val="center"/>
          </w:tcPr>
          <w:p w14:paraId="7D217FAA">
            <w:pPr>
              <w:spacing w:after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≥60</w:t>
            </w:r>
          </w:p>
        </w:tc>
        <w:tc>
          <w:tcPr>
            <w:tcW w:w="2133" w:type="dxa"/>
            <w:vAlign w:val="center"/>
          </w:tcPr>
          <w:p w14:paraId="092B8630">
            <w:pPr>
              <w:spacing w:after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不做要求</w:t>
            </w:r>
          </w:p>
        </w:tc>
        <w:tc>
          <w:tcPr>
            <w:tcW w:w="2130" w:type="dxa"/>
            <w:vAlign w:val="center"/>
          </w:tcPr>
          <w:p w14:paraId="65C7826D">
            <w:pPr>
              <w:spacing w:after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≥60</w:t>
            </w:r>
          </w:p>
        </w:tc>
      </w:tr>
      <w:tr w14:paraId="4B28EB1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3" w:hRule="atLeast"/>
          <w:jc w:val="center"/>
        </w:trPr>
        <w:tc>
          <w:tcPr>
            <w:tcW w:w="2145" w:type="dxa"/>
            <w:vAlign w:val="center"/>
          </w:tcPr>
          <w:p w14:paraId="0110A8A9">
            <w:pPr>
              <w:spacing w:after="0"/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损失率</w:t>
            </w:r>
            <w:r>
              <w:rPr>
                <w:rFonts w:hint="eastAsia" w:ascii="宋体" w:hAnsi="宋体" w:eastAsia="宋体" w:cs="宋体"/>
                <w:b/>
                <w:sz w:val="14"/>
                <w:szCs w:val="14"/>
                <w:lang w:eastAsia="zh-CN"/>
              </w:rPr>
              <w:t>（</w:t>
            </w:r>
            <w:r>
              <w:rPr>
                <w:b/>
                <w:sz w:val="14"/>
                <w:szCs w:val="14"/>
              </w:rPr>
              <w:t xml:space="preserve"> %</w:t>
            </w:r>
            <w:r>
              <w:rPr>
                <w:rFonts w:hint="eastAsia" w:ascii="宋体" w:hAnsi="宋体" w:eastAsia="宋体" w:cs="宋体"/>
                <w:b/>
                <w:sz w:val="14"/>
                <w:szCs w:val="14"/>
                <w:lang w:eastAsia="zh-CN"/>
              </w:rPr>
              <w:t>）</w:t>
            </w:r>
          </w:p>
        </w:tc>
        <w:tc>
          <w:tcPr>
            <w:tcW w:w="2129" w:type="dxa"/>
            <w:vAlign w:val="center"/>
          </w:tcPr>
          <w:p w14:paraId="7722FD8F">
            <w:pPr>
              <w:spacing w:after="0"/>
              <w:jc w:val="center"/>
              <w:rPr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＜</w:t>
            </w:r>
            <w:r>
              <w:rPr>
                <w:sz w:val="14"/>
                <w:szCs w:val="14"/>
              </w:rPr>
              <w:t>15</w:t>
            </w:r>
          </w:p>
        </w:tc>
        <w:tc>
          <w:tcPr>
            <w:tcW w:w="2133" w:type="dxa"/>
            <w:vAlign w:val="center"/>
          </w:tcPr>
          <w:p w14:paraId="14665090">
            <w:pPr>
              <w:spacing w:after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不做要求</w:t>
            </w:r>
          </w:p>
        </w:tc>
        <w:tc>
          <w:tcPr>
            <w:tcW w:w="2130" w:type="dxa"/>
            <w:vAlign w:val="center"/>
          </w:tcPr>
          <w:p w14:paraId="342D5BD6">
            <w:pPr>
              <w:spacing w:after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不做要求</w:t>
            </w:r>
          </w:p>
        </w:tc>
      </w:tr>
      <w:tr w14:paraId="0274171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0" w:hRule="atLeast"/>
          <w:jc w:val="center"/>
        </w:trPr>
        <w:tc>
          <w:tcPr>
            <w:tcW w:w="2145" w:type="dxa"/>
            <w:vAlign w:val="center"/>
          </w:tcPr>
          <w:p w14:paraId="7BCEF291">
            <w:pPr>
              <w:spacing w:after="0"/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果心大小</w:t>
            </w:r>
          </w:p>
        </w:tc>
        <w:tc>
          <w:tcPr>
            <w:tcW w:w="2129" w:type="dxa"/>
            <w:vAlign w:val="center"/>
          </w:tcPr>
          <w:p w14:paraId="4D3CAD7F">
            <w:pPr>
              <w:spacing w:after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不做要求</w:t>
            </w:r>
          </w:p>
        </w:tc>
        <w:tc>
          <w:tcPr>
            <w:tcW w:w="2133" w:type="dxa"/>
            <w:vAlign w:val="center"/>
          </w:tcPr>
          <w:p w14:paraId="2BD8AEB0">
            <w:pPr>
              <w:spacing w:after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≤1/3</w:t>
            </w:r>
          </w:p>
        </w:tc>
        <w:tc>
          <w:tcPr>
            <w:tcW w:w="2130" w:type="dxa"/>
            <w:vAlign w:val="center"/>
          </w:tcPr>
          <w:p w14:paraId="32B26FB4">
            <w:pPr>
              <w:spacing w:after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不做要求</w:t>
            </w:r>
          </w:p>
        </w:tc>
      </w:tr>
    </w:tbl>
    <w:p w14:paraId="7803CCBF">
      <w:pPr>
        <w:numPr>
          <w:ilvl w:val="0"/>
          <w:numId w:val="0"/>
        </w:numPr>
        <w:spacing w:before="120" w:after="120" w:line="288" w:lineRule="auto"/>
        <w:ind w:firstLine="42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（5）鲜食苹果规格划分：以果实横径划分鲜食苹果果实大小规格，应符合表3的要求。</w:t>
      </w:r>
    </w:p>
    <w:p w14:paraId="55AE40B0">
      <w:pPr>
        <w:spacing w:before="120" w:after="120" w:line="288" w:lineRule="auto"/>
        <w:ind w:left="0" w:firstLine="400" w:firstLineChars="200"/>
        <w:jc w:val="center"/>
        <w:rPr>
          <w:rFonts w:hint="eastAsia" w:ascii="黑体" w:hAnsi="黑体" w:eastAsia="黑体" w:cs="黑体"/>
          <w:b w:val="0"/>
          <w:bCs w:val="0"/>
          <w:color w:val="auto"/>
          <w:kern w:val="0"/>
          <w:sz w:val="20"/>
          <w:szCs w:val="20"/>
          <w:highlight w:val="none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0"/>
          <w:szCs w:val="20"/>
          <w:highlight w:val="none"/>
          <w:lang w:val="en-US" w:eastAsia="zh-CN" w:bidi="ar"/>
        </w:rPr>
        <w:t>表3 嘎拉鲜食苹果规格划分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7"/>
        <w:gridCol w:w="1701"/>
        <w:gridCol w:w="1701"/>
        <w:gridCol w:w="1701"/>
        <w:gridCol w:w="1686"/>
      </w:tblGrid>
      <w:tr w14:paraId="0227881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0" w:hRule="atLeast"/>
          <w:tblHeader/>
          <w:jc w:val="center"/>
        </w:trPr>
        <w:tc>
          <w:tcPr>
            <w:tcW w:w="1707" w:type="dxa"/>
            <w:shd w:val="clear" w:color="auto" w:fill="D9EAF7"/>
            <w:vAlign w:val="center"/>
          </w:tcPr>
          <w:p w14:paraId="03D0DEF6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规格</w:t>
            </w:r>
          </w:p>
        </w:tc>
        <w:tc>
          <w:tcPr>
            <w:tcW w:w="1701" w:type="dxa"/>
            <w:shd w:val="clear" w:color="auto" w:fill="D9EAF7"/>
            <w:vAlign w:val="center"/>
          </w:tcPr>
          <w:p w14:paraId="7F06430D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S（小）</w:t>
            </w:r>
          </w:p>
        </w:tc>
        <w:tc>
          <w:tcPr>
            <w:tcW w:w="1701" w:type="dxa"/>
            <w:shd w:val="clear" w:color="auto" w:fill="D9EAF7"/>
            <w:vAlign w:val="center"/>
          </w:tcPr>
          <w:p w14:paraId="2E475910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M（中）</w:t>
            </w:r>
          </w:p>
        </w:tc>
        <w:tc>
          <w:tcPr>
            <w:tcW w:w="1701" w:type="dxa"/>
            <w:shd w:val="clear" w:color="auto" w:fill="D9EAF7"/>
            <w:vAlign w:val="center"/>
          </w:tcPr>
          <w:p w14:paraId="023080BA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L（大）</w:t>
            </w:r>
          </w:p>
        </w:tc>
        <w:tc>
          <w:tcPr>
            <w:tcW w:w="1686" w:type="dxa"/>
            <w:shd w:val="clear" w:color="auto" w:fill="D9EAF7"/>
            <w:vAlign w:val="center"/>
          </w:tcPr>
          <w:p w14:paraId="19C6FEBE">
            <w:pPr>
              <w:spacing w:after="0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XL（特大）</w:t>
            </w:r>
          </w:p>
        </w:tc>
      </w:tr>
      <w:tr w14:paraId="29B3CD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" w:hRule="atLeast"/>
          <w:jc w:val="center"/>
        </w:trPr>
        <w:tc>
          <w:tcPr>
            <w:tcW w:w="1707" w:type="dxa"/>
            <w:vAlign w:val="center"/>
          </w:tcPr>
          <w:p w14:paraId="419C5BEE">
            <w:pPr>
              <w:spacing w:after="0"/>
              <w:jc w:val="center"/>
              <w:rPr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果径</w:t>
            </w:r>
            <w:r>
              <w:rPr>
                <w:rFonts w:hint="eastAsia" w:ascii="宋体" w:hAnsi="宋体" w:eastAsia="宋体" w:cs="宋体"/>
                <w:b/>
                <w:sz w:val="14"/>
                <w:szCs w:val="14"/>
                <w:lang w:eastAsia="zh-CN"/>
              </w:rPr>
              <w:t>（</w:t>
            </w:r>
            <w:r>
              <w:rPr>
                <w:b/>
                <w:sz w:val="14"/>
                <w:szCs w:val="14"/>
              </w:rPr>
              <w:t xml:space="preserve"> mm</w:t>
            </w:r>
            <w:r>
              <w:rPr>
                <w:rFonts w:hint="eastAsia" w:ascii="宋体" w:hAnsi="宋体" w:eastAsia="宋体" w:cs="宋体"/>
                <w:b/>
                <w:sz w:val="14"/>
                <w:szCs w:val="14"/>
                <w:lang w:eastAsia="zh-CN"/>
              </w:rPr>
              <w:t>）</w:t>
            </w:r>
          </w:p>
        </w:tc>
        <w:tc>
          <w:tcPr>
            <w:tcW w:w="1701" w:type="dxa"/>
            <w:vAlign w:val="center"/>
          </w:tcPr>
          <w:p w14:paraId="267F8C30">
            <w:pPr>
              <w:spacing w:after="0"/>
              <w:jc w:val="center"/>
              <w:rPr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sz w:val="14"/>
                <w:szCs w:val="14"/>
              </w:rPr>
              <w:t>＜</w:t>
            </w:r>
            <w:r>
              <w:rPr>
                <w:sz w:val="14"/>
                <w:szCs w:val="14"/>
              </w:rPr>
              <w:t>65</w:t>
            </w:r>
          </w:p>
        </w:tc>
        <w:tc>
          <w:tcPr>
            <w:tcW w:w="1701" w:type="dxa"/>
            <w:vAlign w:val="center"/>
          </w:tcPr>
          <w:p w14:paraId="0631C5F0">
            <w:pPr>
              <w:spacing w:after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65</w:t>
            </w:r>
            <w:r>
              <w:rPr>
                <w:rFonts w:hint="eastAsia" w:ascii="宋体" w:hAnsi="宋体" w:eastAsia="宋体" w:cs="宋体"/>
                <w:sz w:val="14"/>
                <w:szCs w:val="14"/>
              </w:rPr>
              <w:t>～＜</w:t>
            </w:r>
            <w:r>
              <w:rPr>
                <w:sz w:val="14"/>
                <w:szCs w:val="14"/>
              </w:rPr>
              <w:t>70</w:t>
            </w:r>
          </w:p>
        </w:tc>
        <w:tc>
          <w:tcPr>
            <w:tcW w:w="1701" w:type="dxa"/>
            <w:vAlign w:val="center"/>
          </w:tcPr>
          <w:p w14:paraId="3E833A04">
            <w:pPr>
              <w:spacing w:after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70</w:t>
            </w:r>
            <w:r>
              <w:rPr>
                <w:rFonts w:hint="eastAsia" w:ascii="宋体" w:hAnsi="宋体" w:eastAsia="宋体" w:cs="宋体"/>
                <w:sz w:val="14"/>
                <w:szCs w:val="14"/>
              </w:rPr>
              <w:t>～＜</w:t>
            </w:r>
            <w:r>
              <w:rPr>
                <w:sz w:val="14"/>
                <w:szCs w:val="14"/>
              </w:rPr>
              <w:t>75</w:t>
            </w:r>
          </w:p>
        </w:tc>
        <w:tc>
          <w:tcPr>
            <w:tcW w:w="1686" w:type="dxa"/>
            <w:vAlign w:val="center"/>
          </w:tcPr>
          <w:p w14:paraId="4B557D46">
            <w:pPr>
              <w:spacing w:after="0"/>
              <w:jc w:val="center"/>
              <w:rPr>
                <w:sz w:val="14"/>
                <w:szCs w:val="14"/>
              </w:rPr>
            </w:pPr>
            <w:r>
              <w:rPr>
                <w:rFonts w:ascii="Noto Serif CJK SC" w:hAnsi="Noto Serif CJK SC"/>
                <w:sz w:val="14"/>
                <w:szCs w:val="14"/>
              </w:rPr>
              <w:t>≥</w:t>
            </w:r>
            <w:r>
              <w:rPr>
                <w:sz w:val="14"/>
                <w:szCs w:val="14"/>
              </w:rPr>
              <w:t>75</w:t>
            </w:r>
          </w:p>
        </w:tc>
      </w:tr>
    </w:tbl>
    <w:p w14:paraId="59CFE033">
      <w:p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/>
          <w:bCs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（6）加工用苹果规格划分：制汁液/浆和发酵用苹果规格不做强制规定，制干用苹果规格建议采用≥60 mm的果实。</w:t>
      </w:r>
    </w:p>
    <w:p w14:paraId="1E4C481E">
      <w:pPr>
        <w:numPr>
          <w:ilvl w:val="0"/>
          <w:numId w:val="2"/>
        </w:numPr>
        <w:spacing w:before="120" w:after="120" w:line="288" w:lineRule="auto"/>
        <w:ind w:left="420" w:leftChars="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容许度要求</w:t>
      </w:r>
      <w:bookmarkEnd w:id="12"/>
    </w:p>
    <w:p w14:paraId="553323BE">
      <w:pPr>
        <w:spacing w:before="120" w:after="120" w:line="288" w:lineRule="auto"/>
        <w:ind w:left="0" w:firstLine="420" w:firstLineChars="200"/>
        <w:jc w:val="both"/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结合嘎啦早熟皮薄、采收磕碰损伤概率高于晚熟富士的生产实际设定：</w:t>
      </w:r>
    </w:p>
    <w:p w14:paraId="31A79A09">
      <w:pPr>
        <w:spacing w:before="120" w:after="120" w:line="288" w:lineRule="auto"/>
        <w:ind w:left="0" w:firstLine="420" w:firstLineChars="200"/>
        <w:jc w:val="both"/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鲜食等级容许度：精品不合格降级率≤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</w:t>
      </w:r>
      <w:r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4%（降一等）、一等≤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</w:t>
      </w:r>
      <w:r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9%（降二等）、二等≤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</w:t>
      </w:r>
      <w:r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14%（降等外），指标小幅优化适配早熟果品储运特点；</w:t>
      </w:r>
    </w:p>
    <w:p w14:paraId="08F75FC0">
      <w:pPr>
        <w:spacing w:before="120" w:after="120" w:line="288" w:lineRule="auto"/>
        <w:ind w:left="0" w:firstLine="420" w:firstLineChars="200"/>
        <w:jc w:val="both"/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加工果容许度：不合格果占比≤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</w:t>
      </w:r>
      <w:r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22%，重度腐烂果直接剔除禁止投料；</w:t>
      </w:r>
    </w:p>
    <w:p w14:paraId="26141595">
      <w:pPr>
        <w:spacing w:before="120" w:after="120" w:line="288" w:lineRule="auto"/>
        <w:ind w:left="0" w:firstLine="420" w:firstLineChars="200"/>
        <w:jc w:val="both"/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规格容许度：鲜果各规格允许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有不超过</w:t>
      </w:r>
      <w:r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5%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的果实</w:t>
      </w:r>
      <w:r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低于果径下限，加工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果</w:t>
      </w:r>
      <w:r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无规格容许要求。</w:t>
      </w:r>
    </w:p>
    <w:p w14:paraId="44EC62EF">
      <w:pPr>
        <w:numPr>
          <w:ilvl w:val="0"/>
          <w:numId w:val="2"/>
        </w:numPr>
        <w:spacing w:before="120" w:after="120" w:line="288" w:lineRule="auto"/>
        <w:ind w:left="420" w:leftChars="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bookmarkStart w:id="13" w:name="heading_16"/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试验方法</w:t>
      </w:r>
      <w:bookmarkEnd w:id="13"/>
    </w:p>
    <w:p w14:paraId="1411BBF5">
      <w:pPr>
        <w:spacing w:before="120" w:after="120" w:line="288" w:lineRule="auto"/>
        <w:ind w:left="0" w:firstLine="42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试验方法主要参考GB/T 10651 《鲜苹果》中的描述，但细化补充了部分指标方法。</w:t>
      </w:r>
    </w:p>
    <w:p w14:paraId="03776A14">
      <w:pPr>
        <w:numPr>
          <w:ilvl w:val="0"/>
          <w:numId w:val="3"/>
        </w:num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感官检验：室内自然光环境，卡尺+目测判定果形、缺陷、果锈；</w:t>
      </w:r>
    </w:p>
    <w:p w14:paraId="47898F49">
      <w:pPr>
        <w:numPr>
          <w:ilvl w:val="0"/>
          <w:numId w:val="3"/>
        </w:num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内部病虫害抽检：批次≤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500件抽20果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， 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500件抽30果，纵横切分四瓣查霉心病、腐心、食心虫；同批≥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3果带内部病害加倍抽样；无褐变水心病不计不合格。</w:t>
      </w:r>
      <w:bookmarkStart w:id="14" w:name="heading_17"/>
    </w:p>
    <w:p w14:paraId="74B27BAA">
      <w:pPr>
        <w:numPr>
          <w:ilvl w:val="0"/>
          <w:numId w:val="3"/>
        </w:num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容许度：检出的不合格果，按记录单分项以果重为基准计算其百分率，如包装上标有果数时，则百分比应以果数为基准计算，精确到小数点后一位，按式（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1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）计算。 </w:t>
      </w:r>
    </w:p>
    <w:p w14:paraId="556F82D7">
      <w:pPr>
        <w:spacing w:before="120" w:after="120" w:line="288" w:lineRule="auto"/>
        <w:ind w:left="0" w:firstLine="420" w:firstLineChars="200"/>
        <w:jc w:val="center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X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=w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/W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······················································· (1)</w:t>
      </w:r>
    </w:p>
    <w:p w14:paraId="0158BDA3">
      <w:p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式中： </w:t>
      </w:r>
    </w:p>
    <w:p w14:paraId="47E88B87">
      <w:p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X——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单项不合格果百分率，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%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； </w:t>
      </w:r>
    </w:p>
    <w:p w14:paraId="218BF711">
      <w:p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w——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单项不合格果重或果数，单位为克（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g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）或个； </w:t>
      </w:r>
    </w:p>
    <w:p w14:paraId="2732E3C5">
      <w:p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W——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检验批总果重或果数，单位为克（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g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）或个。 </w:t>
      </w:r>
    </w:p>
    <w:p w14:paraId="50D7F435">
      <w:pPr>
        <w:spacing w:before="120" w:after="120" w:line="288" w:lineRule="auto"/>
        <w:ind w:left="0" w:firstLine="42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各单项不合格果百分率的总和，即该批次嘎啦苹果总不合格果百分率。</w:t>
      </w:r>
    </w:p>
    <w:p w14:paraId="66015D3B">
      <w:p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（4）理化指标</w:t>
      </w:r>
    </w:p>
    <w:p w14:paraId="755608CF">
      <w:pPr>
        <w:spacing w:before="120" w:after="120" w:line="288" w:lineRule="auto"/>
        <w:ind w:left="0" w:firstLine="42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1）总则规定了理化检验样品数量、检验温度、检验位置等。</w:t>
      </w:r>
    </w:p>
    <w:p w14:paraId="585252FD">
      <w:pPr>
        <w:spacing w:before="120" w:after="120" w:line="288" w:lineRule="auto"/>
        <w:ind w:left="0" w:firstLine="42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2）硬度的试验方法按 GB/T 10651 规定执行。</w:t>
      </w:r>
    </w:p>
    <w:p w14:paraId="649A2783">
      <w:p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3）可溶性固形物（手持式数显糖度计法）。</w:t>
      </w:r>
    </w:p>
    <w:p w14:paraId="0BC40884">
      <w:pPr>
        <w:spacing w:before="120" w:after="120" w:line="288" w:lineRule="auto"/>
        <w:ind w:left="0" w:firstLine="42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4）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固酸比：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可溶性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固形物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含量/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可滴定酸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含量。</w:t>
      </w:r>
    </w:p>
    <w:p w14:paraId="5A9DC0C6">
      <w:pPr>
        <w:spacing w:before="120" w:after="120" w:line="288" w:lineRule="auto"/>
        <w:ind w:left="0" w:firstLine="42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5）果心大小：果实沿最大横径处切开，用游标卡尺测量心室直径（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m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）和横截面直径（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n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），果心大小用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n/m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表示。</w:t>
      </w:r>
    </w:p>
    <w:p w14:paraId="4CC846FF">
      <w:p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6）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出汁率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：果汁重量/果实重量（苹果果实用电子天平称重，用小型螺旋式榨汁（螺旋网孔径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0.5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mm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，榨汁压力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1.0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MPa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）榨汁，将所得果汁用电子天平称重，计算其百分率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。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）</w:t>
      </w:r>
    </w:p>
    <w:p w14:paraId="18703F6F">
      <w:pPr>
        <w:spacing w:before="120" w:after="120" w:line="288" w:lineRule="auto"/>
        <w:ind w:left="0" w:firstLine="42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7. 检验规则</w:t>
      </w:r>
      <w:bookmarkEnd w:id="14"/>
    </w:p>
    <w:p w14:paraId="10748B53">
      <w:p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（1）</w:t>
      </w:r>
      <w:bookmarkStart w:id="15" w:name="heading_18"/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同一产地、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同一品种、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同期采收、同一仓储/收购、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同一等级规格、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同一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销售批次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的嘎啦苹果划为一个检验批次。</w:t>
      </w:r>
    </w:p>
    <w:p w14:paraId="289B7985">
      <w:p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（2）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纸箱/周转筐包装：≤ 50件抽1件；51~100件抽2件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；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100件每增加100件增抽1件，不足100按100计；散装筐装抽样≥ 100个样果；结果不合格可加倍抽样复检。</w:t>
      </w:r>
    </w:p>
    <w:p w14:paraId="7502ADE4">
      <w:pPr>
        <w:spacing w:before="120" w:after="120" w:line="288" w:lineRule="auto"/>
        <w:ind w:left="0" w:firstLine="42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（3）判定规则</w:t>
      </w:r>
    </w:p>
    <w:p w14:paraId="58C961E2">
      <w:p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1）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单果同时存在多项缺陷，只记录损伤最重一项；</w:t>
      </w:r>
    </w:p>
    <w:p w14:paraId="6DAA295D">
      <w:p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2）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交货产品必须标注等级、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执行标准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、规格、净重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、交售数量等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，标注不全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或不符合要求的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需重新整理复检；</w:t>
      </w:r>
    </w:p>
    <w:p w14:paraId="7B95C24B">
      <w:p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3）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供需双方对定级异议，整批分拣后二次复检，复检结果为最终判定；特殊约定以购销合同为准。</w:t>
      </w:r>
    </w:p>
    <w:p w14:paraId="629B15C9">
      <w:pPr>
        <w:spacing w:before="120" w:after="120" w:line="288" w:lineRule="auto"/>
        <w:ind w:left="0" w:firstLine="42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8. 采收</w:t>
      </w:r>
    </w:p>
    <w:p w14:paraId="0FEFFDCF">
      <w:p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嘎啦苹果达到品种固有风味、外观和理化指标要求后方可采收，不应过早采收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；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采收后宜采用自动化分级设备，或由具有苹果分选经验的人员按本文件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第4部分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进行分级。</w:t>
      </w:r>
    </w:p>
    <w:p w14:paraId="643D7CE1">
      <w:pPr>
        <w:spacing w:before="120" w:after="120" w:line="288" w:lineRule="auto"/>
        <w:ind w:left="0" w:firstLine="42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9. 包装、标志标签、冷藏运输</w:t>
      </w:r>
      <w:bookmarkEnd w:id="15"/>
    </w:p>
    <w:p w14:paraId="38E94972">
      <w:pPr>
        <w:spacing w:before="120" w:after="120" w:line="288" w:lineRule="auto"/>
        <w:ind w:left="0" w:firstLine="420" w:firstLineChars="200"/>
        <w:jc w:val="both"/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（1）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包装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：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用食品级纸箱、塑料果箱、实木箱，干燥无异味、无毒胶印，内部配套珍珠棉果托；同箱必须同等级+同规格，同箱果径差值≤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4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mm；严禁混入枝叶、石子、病虫烂果；精品果宜采用独立分格或礼盒包装；一等果和二等果宜采用分层装箱。</w:t>
      </w:r>
    </w:p>
    <w:p w14:paraId="0C9B2CE1">
      <w:pPr>
        <w:spacing w:before="120" w:after="120" w:line="288" w:lineRule="auto"/>
        <w:ind w:left="0" w:firstLine="42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（2）标志与标签：同一批货物的包装标志在形式和内容上应统一；外包装固定位置应标明“嘎啦苹果”品名、品牌或标志文字和图案，文字和图案应清晰、完整、耐摩擦；产品标签应标明产品商标、品种、等级、规格、净重、单位名称、产地、采收日期或包装日期等，标签上的字迹应清晰、完整、准确。</w:t>
      </w:r>
    </w:p>
    <w:p w14:paraId="3BFB3E91">
      <w:pPr>
        <w:spacing w:before="120" w:after="120" w:line="288" w:lineRule="auto"/>
        <w:ind w:left="0" w:firstLine="42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（3）储运：冷藏按 GB/T 8559 执行，短途运输果温5～12 ℃、长途0～4 ℃，轻装轻卸减少早熟苹果机械损伤，填补通用国标无早熟苹果专属运输温控空白。</w:t>
      </w:r>
    </w:p>
    <w:p w14:paraId="6661BA45">
      <w:pPr>
        <w:spacing w:before="120" w:after="120" w:line="288" w:lineRule="auto"/>
        <w:ind w:left="0" w:firstLine="422" w:firstLineChars="200"/>
        <w:jc w:val="left"/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</w:pPr>
      <w:bookmarkStart w:id="16" w:name="heading_19"/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三、试验验证分析、技术经济及效益分析</w:t>
      </w:r>
      <w:bookmarkEnd w:id="16"/>
    </w:p>
    <w:p w14:paraId="67E43A79">
      <w:pPr>
        <w:widowControl/>
        <w:spacing w:before="312" w:beforeLines="100" w:after="312" w:afterLines="100"/>
        <w:ind w:firstLine="420" w:firstLineChars="200"/>
        <w:jc w:val="left"/>
        <w:rPr>
          <w:rFonts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val="en-US" w:eastAsia="zh-CN" w:bidi="ar"/>
        </w:rPr>
      </w:pPr>
      <w:bookmarkStart w:id="17" w:name="heading_20"/>
      <w:r>
        <w:rPr>
          <w:rFonts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（一）试验验证分析</w:t>
      </w:r>
      <w:bookmarkEnd w:id="17"/>
    </w:p>
    <w:p w14:paraId="1B695F4C">
      <w:pPr>
        <w:spacing w:before="120" w:after="120" w:line="288" w:lineRule="auto"/>
        <w:ind w:left="0" w:firstLine="42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起草组在国内嘎啦主产区开展样品采集试验，采用滴定法、硬度计、折射仪、螺旋榨汁设备实测百余组嘎啦果实硬度、可溶性固形物、可滴定酸、出汁率、果心大小等关键指标，汇总实测数据作为标准理化指标设置核心依据；同步在分选厂开展现场缺陷分级模拟验证，反复优化缺陷面积、果锈限值等感官参数，确保指标贴合生产实操。</w:t>
      </w:r>
    </w:p>
    <w:p w14:paraId="2B3FB1EE">
      <w:pPr>
        <w:widowControl/>
        <w:spacing w:before="312" w:beforeLines="100" w:after="312" w:afterLines="100"/>
        <w:ind w:firstLine="420" w:firstLineChars="200"/>
        <w:jc w:val="left"/>
        <w:rPr>
          <w:rFonts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val="en-US" w:eastAsia="zh-CN" w:bidi="ar"/>
        </w:rPr>
      </w:pPr>
      <w:bookmarkStart w:id="18" w:name="heading_21"/>
      <w:r>
        <w:rPr>
          <w:rFonts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（二）经济效益</w:t>
      </w:r>
      <w:bookmarkEnd w:id="18"/>
    </w:p>
    <w:p w14:paraId="600FF17D">
      <w:pPr>
        <w:spacing w:before="120" w:after="120" w:line="288" w:lineRule="auto"/>
        <w:ind w:left="0" w:firstLine="42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1. 提升果品附加值：标准落地实现分级定价，精品嘎啦单独商品化包装、高端渠道销售，摆脱混装低价销售现状，优质果收购价提升15%～30%，直接增加果农收益；</w:t>
      </w:r>
    </w:p>
    <w:p w14:paraId="1B7A2575">
      <w:pPr>
        <w:spacing w:before="120" w:after="120" w:line="288" w:lineRule="auto"/>
        <w:ind w:left="0" w:firstLine="42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2. 优化深加工原料利用率：加工果按制汁/干制/发酵分类定级，原料定向利用，降低加工损耗、提升深加工产品出品率与品质，延长产业链收益。</w:t>
      </w:r>
    </w:p>
    <w:p w14:paraId="2051E118">
      <w:pPr>
        <w:widowControl/>
        <w:spacing w:before="312" w:beforeLines="100" w:after="312" w:afterLines="100" w:line="240" w:lineRule="auto"/>
        <w:ind w:left="0" w:firstLine="420" w:firstLineChars="200"/>
        <w:jc w:val="left"/>
        <w:outlineLvl w:val="9"/>
        <w:rPr>
          <w:rFonts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val="en-US" w:eastAsia="zh-CN" w:bidi="ar"/>
        </w:rPr>
      </w:pPr>
      <w:bookmarkStart w:id="19" w:name="heading_22"/>
      <w:r>
        <w:rPr>
          <w:rFonts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（三）社会效益</w:t>
      </w:r>
      <w:bookmarkEnd w:id="19"/>
    </w:p>
    <w:p w14:paraId="200881A1">
      <w:pPr>
        <w:spacing w:before="120" w:after="120" w:line="288" w:lineRule="auto"/>
        <w:ind w:left="0" w:firstLine="42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1. 助推全国水果优质化落地：统一全国嘎啦分级标尺，倒逼产区淘汰掠夺式早采，引导绿色标准化栽培，整体提升国内早熟苹果品质水平；</w:t>
      </w:r>
    </w:p>
    <w:p w14:paraId="63CCDFC6">
      <w:pPr>
        <w:spacing w:before="120" w:after="120" w:line="288" w:lineRule="auto"/>
        <w:ind w:left="0" w:firstLine="42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2. 规范市场秩序：消除各地分级乱象，减少购销贸易纠纷，助力嘎啦区域公共品牌培育，拓展国内及出口市场；</w:t>
      </w:r>
    </w:p>
    <w:p w14:paraId="1D6BAA97">
      <w:pPr>
        <w:spacing w:before="120" w:after="120" w:line="288" w:lineRule="auto"/>
        <w:ind w:left="0" w:firstLine="42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3. 稳固乡村产业：以标准化带动嘎啦全产业链发展，吸纳产地就业，助力果区乡村振兴。</w:t>
      </w:r>
    </w:p>
    <w:p w14:paraId="2EC9D7BF">
      <w:pPr>
        <w:widowControl/>
        <w:spacing w:before="312" w:beforeLines="100" w:after="312" w:afterLines="100" w:line="240" w:lineRule="auto"/>
        <w:ind w:left="0" w:firstLine="420" w:firstLineChars="200"/>
        <w:jc w:val="left"/>
        <w:outlineLvl w:val="9"/>
        <w:rPr>
          <w:rFonts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val="en-US" w:eastAsia="zh-CN" w:bidi="ar"/>
        </w:rPr>
      </w:pPr>
      <w:bookmarkStart w:id="20" w:name="heading_23"/>
      <w:r>
        <w:rPr>
          <w:rFonts w:ascii="Times New Roman" w:hAnsi="Times New Roman" w:eastAsia="楷体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（四）生态效益</w:t>
      </w:r>
      <w:bookmarkEnd w:id="20"/>
    </w:p>
    <w:p w14:paraId="6B2A601E">
      <w:pPr>
        <w:spacing w:before="120" w:after="120" w:line="288" w:lineRule="auto"/>
        <w:ind w:left="0" w:firstLine="420" w:firstLineChars="200"/>
        <w:jc w:val="both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标准引导标准化疏花疏果、科学植保、精细化田间管理，减少盲目用药、过量施肥，推动果园绿色生态栽培，降低农业面源污染。</w:t>
      </w:r>
    </w:p>
    <w:p w14:paraId="5036BED6">
      <w:pPr>
        <w:spacing w:before="120" w:after="120" w:line="288" w:lineRule="auto"/>
        <w:ind w:left="0" w:firstLine="422" w:firstLineChars="200"/>
        <w:jc w:val="left"/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</w:pPr>
      <w:bookmarkStart w:id="21" w:name="heading_24"/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四、采用国际、国外先进标准程度</w:t>
      </w:r>
      <w:bookmarkEnd w:id="21"/>
    </w:p>
    <w:p w14:paraId="29DF8E97">
      <w:pPr>
        <w:spacing w:before="320" w:after="120" w:line="288" w:lineRule="auto"/>
        <w:ind w:left="0" w:firstLine="420" w:firstLineChars="200"/>
        <w:jc w:val="left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bookmarkStart w:id="22" w:name="heading_25"/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无。</w:t>
      </w:r>
    </w:p>
    <w:p w14:paraId="7DB5ED30">
      <w:pPr>
        <w:spacing w:before="120" w:after="120" w:line="288" w:lineRule="auto"/>
        <w:ind w:left="0" w:firstLine="422" w:firstLineChars="200"/>
        <w:jc w:val="left"/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五、与现行法律法规、强制性国标协调关系</w:t>
      </w:r>
      <w:bookmarkEnd w:id="22"/>
    </w:p>
    <w:p w14:paraId="7C45AB63">
      <w:pPr>
        <w:spacing w:before="320" w:after="120" w:line="288" w:lineRule="auto"/>
        <w:ind w:left="0" w:firstLine="420" w:firstLineChars="200"/>
        <w:jc w:val="both"/>
        <w:outlineLvl w:val="1"/>
        <w:rPr>
          <w:rFonts w:ascii="Times New Roman" w:hAnsi="Times New Roman" w:cs="Times New Roman"/>
          <w:color w:val="auto"/>
          <w:kern w:val="0"/>
          <w:sz w:val="21"/>
          <w:szCs w:val="21"/>
          <w:highlight w:val="none"/>
          <w:lang w:bidi="ar"/>
        </w:rPr>
      </w:pPr>
      <w:bookmarkStart w:id="23" w:name="heading_26"/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相关的法规和标准主要有：国内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国家标准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GB/T 23616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-2009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加工用苹果分级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；行业标准NY/T 2316-2023 苹果品质指标评价规范、</w:t>
      </w:r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NY/T 2637 果蔬可溶性固形物折</w:t>
      </w:r>
      <w:r>
        <w:rPr>
          <w:rFonts w:hint="default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射仪测定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；地方标准</w:t>
      </w:r>
      <w:r>
        <w:rPr>
          <w:rFonts w:hint="default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DB61/T 2096-2025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 xml:space="preserve"> </w:t>
      </w:r>
      <w:r>
        <w:rPr>
          <w:rFonts w:hint="default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苹果分级规范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。</w:t>
      </w:r>
    </w:p>
    <w:p w14:paraId="23B5518E">
      <w:pPr>
        <w:spacing w:before="120" w:after="120" w:line="288" w:lineRule="auto"/>
        <w:ind w:left="0" w:firstLine="422" w:firstLineChars="200"/>
        <w:jc w:val="left"/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六、重大分歧意见处理</w:t>
      </w:r>
      <w:bookmarkEnd w:id="23"/>
    </w:p>
    <w:p w14:paraId="53510698">
      <w:pPr>
        <w:spacing w:before="320" w:after="120" w:line="288" w:lineRule="auto"/>
        <w:ind w:left="0" w:firstLine="420" w:firstLineChars="200"/>
        <w:jc w:val="left"/>
        <w:outlineLvl w:val="1"/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</w:pPr>
      <w:bookmarkStart w:id="24" w:name="heading_27"/>
      <w:r>
        <w:rPr>
          <w:rFonts w:hint="default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本标准在制定过程中未出现重大分歧意见</w:t>
      </w:r>
      <w:r>
        <w:rPr>
          <w:rFonts w:hint="eastAsia" w:ascii="Times New Roman" w:hAnsi="Times New Roman" w:eastAsia="仿宋" w:cs="Times New Roman"/>
          <w:b w:val="0"/>
          <w:bCs w:val="0"/>
          <w:color w:val="auto"/>
          <w:kern w:val="0"/>
          <w:sz w:val="21"/>
          <w:szCs w:val="21"/>
          <w:highlight w:val="none"/>
          <w:lang w:val="en-US" w:eastAsia="zh-CN" w:bidi="ar"/>
        </w:rPr>
        <w:t>。</w:t>
      </w:r>
    </w:p>
    <w:p w14:paraId="18B1F61F">
      <w:pPr>
        <w:spacing w:before="120" w:after="120" w:line="288" w:lineRule="auto"/>
        <w:ind w:left="0" w:firstLine="422" w:firstLineChars="200"/>
        <w:jc w:val="left"/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七、专利相关说明</w:t>
      </w:r>
      <w:bookmarkEnd w:id="24"/>
    </w:p>
    <w:p w14:paraId="21E27A3A">
      <w:pPr>
        <w:spacing w:before="320" w:after="120" w:line="288" w:lineRule="auto"/>
        <w:ind w:left="0" w:firstLine="420" w:firstLineChars="200"/>
        <w:jc w:val="left"/>
        <w:outlineLvl w:val="1"/>
        <w:rPr>
          <w:rFonts w:hint="default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</w:pPr>
      <w:r>
        <w:rPr>
          <w:rFonts w:hint="default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本标准编制内容不涉及任何专利技术，无专利权责问题。</w:t>
      </w:r>
    </w:p>
    <w:p w14:paraId="2565CA31">
      <w:pPr>
        <w:spacing w:before="120" w:after="120" w:line="288" w:lineRule="auto"/>
        <w:ind w:left="0" w:firstLine="422" w:firstLineChars="200"/>
        <w:jc w:val="left"/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</w:pPr>
      <w:bookmarkStart w:id="25" w:name="heading_28"/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八、标准落地实施建议</w:t>
      </w:r>
      <w:bookmarkEnd w:id="25"/>
    </w:p>
    <w:p w14:paraId="5414473D">
      <w:pPr>
        <w:spacing w:before="320" w:after="120" w:line="288" w:lineRule="auto"/>
        <w:ind w:left="0" w:firstLine="420" w:firstLineChars="200"/>
        <w:jc w:val="both"/>
        <w:outlineLvl w:val="1"/>
        <w:rPr>
          <w:rFonts w:hint="default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</w:pPr>
      <w:bookmarkStart w:id="26" w:name="heading_29"/>
      <w:r>
        <w:rPr>
          <w:rFonts w:hint="default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本标准在苹果产区实施，各县（区）果业中心要大量印发本标准，并进行培训，推广标准。另外，本标准要通过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大理大本农业科技</w:t>
      </w:r>
      <w:r>
        <w:rPr>
          <w:rFonts w:hint="default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有限公司，在鲜苹果现货贸易中</w:t>
      </w:r>
      <w:r>
        <w:rPr>
          <w:rFonts w:hint="eastAsia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推广</w:t>
      </w:r>
      <w:r>
        <w:rPr>
          <w:rFonts w:hint="default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，提高苹果质量等级规格标准化水平，为乡村振兴发挥重要作用。</w:t>
      </w:r>
    </w:p>
    <w:p w14:paraId="284C05B4">
      <w:pPr>
        <w:spacing w:before="120" w:after="120" w:line="288" w:lineRule="auto"/>
        <w:ind w:left="0" w:firstLine="422" w:firstLineChars="200"/>
        <w:jc w:val="left"/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1"/>
          <w:szCs w:val="21"/>
          <w:lang w:val="en-US" w:eastAsia="zh-CN"/>
        </w:rPr>
        <w:t>九、其他说明事项</w:t>
      </w:r>
      <w:bookmarkEnd w:id="26"/>
    </w:p>
    <w:p w14:paraId="09501AA1">
      <w:pPr>
        <w:spacing w:before="320" w:after="120" w:line="288" w:lineRule="auto"/>
        <w:ind w:left="0" w:firstLine="420" w:firstLineChars="200"/>
        <w:jc w:val="left"/>
        <w:outlineLvl w:val="1"/>
      </w:pPr>
      <w:r>
        <w:rPr>
          <w:rFonts w:hint="default" w:ascii="Times New Roman" w:hAnsi="Times New Roman" w:eastAsia="仿宋" w:cs="Times New Roman"/>
          <w:color w:val="auto"/>
          <w:kern w:val="0"/>
          <w:sz w:val="21"/>
          <w:szCs w:val="21"/>
          <w:highlight w:val="none"/>
          <w:lang w:val="en-US" w:eastAsia="zh-CN" w:bidi="ar"/>
        </w:rPr>
        <w:t>无。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9197744-62C5-4B3A-92BA-477654DE0CC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D0D553EC-5239-43B2-B60F-A853C105A229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AB56D4DC-9F2D-4E28-8691-47E00322D9FC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DD8AB935-2D1D-4343-9094-969CA6B90B3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42409FDF-4F36-4EB2-960A-A71C6729922C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FFF97170-C9E3-4F4F-BE5E-AD75ADF8E32C}"/>
  </w:font>
  <w:font w:name="Noto Serif CJK SC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  <w:embedRegular r:id="rId7" w:fontKey="{69924BDB-C9C9-4E09-941B-D460D09C4366}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242656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68B97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BDFFB5"/>
    <w:multiLevelType w:val="singleLevel"/>
    <w:tmpl w:val="14BDFFB5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646260FA"/>
    <w:multiLevelType w:val="multilevel"/>
    <w:tmpl w:val="646260FA"/>
    <w:lvl w:ilvl="0" w:tentative="0">
      <w:start w:val="1"/>
      <w:numFmt w:val="decimal"/>
      <w:pStyle w:val="5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2">
    <w:nsid w:val="7DEBA1F2"/>
    <w:multiLevelType w:val="singleLevel"/>
    <w:tmpl w:val="7DEBA1F2"/>
    <w:lvl w:ilvl="0" w:tentative="0">
      <w:start w:val="5"/>
      <w:numFmt w:val="decimal"/>
      <w:suff w:val="space"/>
      <w:lvlText w:val="%1."/>
      <w:lvlJc w:val="left"/>
      <w:rPr>
        <w:rFonts w:hint="default"/>
        <w:b w:val="0"/>
        <w:bCs w:val="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RhODg5NWFhNzUxYzY3YmE1ODAxZWI2NDVjZGUyODUifQ=="/>
  </w:docVars>
  <w:rsids>
    <w:rsidRoot w:val="00000000"/>
    <w:rsid w:val="03B92C81"/>
    <w:rsid w:val="11BF511D"/>
    <w:rsid w:val="1C073948"/>
    <w:rsid w:val="1D412E8A"/>
    <w:rsid w:val="20AD0837"/>
    <w:rsid w:val="213F1DD6"/>
    <w:rsid w:val="241430A6"/>
    <w:rsid w:val="2CE07EAC"/>
    <w:rsid w:val="32004C6A"/>
    <w:rsid w:val="34D523DE"/>
    <w:rsid w:val="477718A3"/>
    <w:rsid w:val="47A3372D"/>
    <w:rsid w:val="494B2817"/>
    <w:rsid w:val="4AC83AF2"/>
    <w:rsid w:val="4F5902A5"/>
    <w:rsid w:val="51B12D70"/>
    <w:rsid w:val="58136BF6"/>
    <w:rsid w:val="59C27544"/>
    <w:rsid w:val="5F9A5E4E"/>
    <w:rsid w:val="6C3A079D"/>
    <w:rsid w:val="6EB44A96"/>
    <w:rsid w:val="6F4638FD"/>
    <w:rsid w:val="720179EE"/>
    <w:rsid w:val="735C724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标准文件_正文表标题"/>
    <w:next w:val="1"/>
    <w:qFormat/>
    <w:uiPriority w:val="0"/>
    <w:pPr>
      <w:numPr>
        <w:ilvl w:val="0"/>
        <w:numId w:val="1"/>
      </w:numPr>
      <w:tabs>
        <w:tab w:val="left" w:pos="0"/>
      </w:tabs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bf1ba5de-86f3-4dfb-a592-7681581f316b</errorID>
      <errorWord>、</errorWord>
      <group>L1_Punc</group>
      <groupName>标点问题</groupName>
      <ability>L2_Punc_CN</ability>
      <abilityName>标点符号问题</abilityName>
      <candidateList>
        <item>，</item>
      </candidateList>
      <explain/>
      <paraID>720D246C</paraID>
      <start>42</start>
      <end>43</end>
      <status>modified</status>
      <modifiedWord>，</modifiedWord>
      <trackRevisions>false</trackRevisions>
    </reviewItem>
    <reviewItem>
      <errorID>ca6d2c03-49da-4884-9fab-fc2ed6b2bfd8</errorID>
      <errorWord>中心关于</errorWord>
      <group>L1_Grammar</group>
      <groupName>语法问题</groupName>
      <ability>L2_Grammar</ability>
      <abilityName>语法错误</abilityName>
      <candidateList>
        <item>中心</item>
      </candidateList>
      <explain/>
      <paraID>720D246C</paraID>
      <start>47</start>
      <end>49</end>
      <status>modified</status>
      <modifiedWord>中心</modifiedWord>
      <trackRevisions>false</trackRevisions>
    </reviewItem>
    <reviewItem>
      <errorID>aabdcf2a-d87c-4bad-91e8-db9600c00b39</errorID>
      <errorWord>NY/T 2316-2023 苹果品质指标评价规范成熟团体标准</errorWord>
      <group>L1_Other</group>
      <groupName>其他问题</groupName>
      <ability>L2_Consistency</ability>
      <abilityName>一致性检查</abilityName>
      <candidateList>
        <item>NY/T 2316-2023 苹果品质指标评价规范</item>
      </candidateList>
      <explain>术语一致性问题，多余‘成熟团体标准’表述，应与其他提及处统一</explain>
      <paraID> 3B3EC69</paraID>
      <start>58</start>
      <end>89</end>
      <status>ignored</status>
      <modifiedWord/>
      <trackRevisions>false</trackRevisions>
    </reviewItem>
    <reviewItem>
      <errorID>1d9dccfd-72da-4141-be02-f3f39ab5a628</errorID>
      <errorWord>编制本</errorWord>
      <group>L1_Word</group>
      <groupName>字词问题</groupName>
      <ability>L2_Typo</ability>
      <abilityName>字词错误</abilityName>
      <candidateList>
        <item>编制</item>
      </candidateList>
      <explain>❶〈动〉把细长的东西交叉组织起来，制成器物：用柳条～的筐子。❷〈动〉根据资料做出（规程、方案、计划等）：～教学方案。❸〈名〉组织机构的设置及其人员数量的定额和职务的分配：扩大～。</explain>
      <paraID> 3B3EC69</paraID>
      <start>317</start>
      <end>319</end>
      <status>modified</status>
      <modifiedWord>编制</modifiedWord>
      <trackRevisions>false</trackRevisions>
    </reviewItem>
    <reviewItem>
      <errorID>f5a2a938-cfb5-4b79-960a-c9a576ceabbe</errorID>
      <errorWord>果</errorWord>
      <group>L1_Word</group>
      <groupName>字词问题</groupName>
      <ability>L2_Typo</ability>
      <abilityName>字词错误</abilityName>
      <candidateList>
        <item>对果</item>
      </candidateList>
      <explain/>
      <paraID> E95C3C9</paraID>
      <start>3</start>
      <end>5</end>
      <status>modified</status>
      <modifiedWord>对果</modifiedWord>
      <trackRevisions>false</trackRevisions>
    </reviewItem>
    <reviewItem>
      <errorID>2dc6cd49-06fd-4f21-8e1a-1e88e1e3d330</errorID>
      <errorWord>）</errorWord>
      <group>L1_Punc</group>
      <groupName>标点问题</groupName>
      <ability>L2_Punc_CN</ability>
      <abilityName>标点符号问题</abilityName>
      <candidateList>
        <item>）。</item>
      </candidateList>
      <explain/>
      <paraID> 82C6BAC</paraID>
      <start>13</start>
      <end>15</end>
      <status>modified</status>
      <modifiedWord>）。</modifiedWord>
      <trackRevisions>false</trackRevisions>
    </reviewItem>
    <reviewItem>
      <errorID>27150fb0-51d5-4b6b-a3ce-194e5f1fc005</errorID>
      <errorWord>红富士</errorWord>
      <group>L1_Word</group>
      <groupName>字词问题</groupName>
      <ability>L2_Typo</ability>
      <abilityName>字词错误</abilityName>
      <candidateList>
        <item>于红富士</item>
      </candidateList>
      <explain/>
      <paraID>1FC9ABA1</paraID>
      <start>63</start>
      <end>67</end>
      <status>modified</status>
      <modifiedWord>于红富士</modifiedWord>
      <trackRevisions>false</trackRevisions>
    </reviewItem>
    <reviewItem>
      <errorID>7f47d6e0-6f03-4be9-be15-e4614f4699cf</errorID>
      <errorWord>，&gt;</errorWord>
      <group>L1_Punc</group>
      <groupName>标点问题</groupName>
      <ability>L2_Punc_CN</ability>
      <abilityName>标点符号问题</abilityName>
      <candidateList>
        <item>，</item>
      </candidateList>
      <explain/>
      <paraID>436AF577</paraID>
      <start>168</start>
      <end>169</end>
      <status>modified</status>
      <modifiedWord>，</modifiedWord>
      <trackRevisions>false</trackRevisions>
    </reviewItem>
    <reviewItem>
      <errorID>58e3a9c0-35aa-4bad-9720-58862d576e12</errorID>
      <errorWord>，&gt;</errorWord>
      <group>L1_Punc</group>
      <groupName>标点问题</groupName>
      <ability>L2_Punc_CN</ability>
      <abilityName>标点符号问题</abilityName>
      <candidateList>
        <item>，</item>
      </candidateList>
      <explain/>
      <paraID>436AF577</paraID>
      <start>215</start>
      <end>216</end>
      <status>modified</status>
      <modifiedWord>，</modifiedWord>
      <trackRevisions>false</trackRevisions>
    </reviewItem>
    <reviewItem>
      <errorID>2e211932-e4f4-4690-861e-9753244e1572</errorID>
      <errorWord>分</errorWord>
      <group>L1_Word</group>
      <groupName>字词问题</groupName>
      <ability>L2_Typo</ability>
      <abilityName>字词错误</abilityName>
      <candidateList>
        <item>分为</item>
      </candidateList>
      <explain/>
      <paraID> 2F890F3</paraID>
      <start>42</start>
      <end>44</end>
      <status>modified</status>
      <modifiedWord>分为</modifiedWord>
      <trackRevisions>false</trackRevisions>
    </reviewItem>
    <reviewItem>
      <errorID>2db23cd3-da95-4bd3-ac6e-bf349dc4aa58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 9C51596</paraID>
      <start>22</start>
      <end>22</end>
      <status>modified</status>
      <modifiedWord/>
      <trackRevisions>false</trackRevisions>
    </reviewItem>
    <reviewItem>
      <errorID>c7593f4d-74b2-44fe-beb2-de5d832569da</errorID>
      <errorWord> </errorWord>
      <group>L1_Punc</group>
      <groupName>标点问题</groupName>
      <ability>L2_Punc_CN</ability>
      <abilityName>标点符号问题</abilityName>
      <candidateList>
        <item/>
      </candidateList>
      <explain>此处空格冗余，建议删除。</explain>
      <paraID> 9C51596</paraID>
      <start>38</start>
      <end>38</end>
      <status>modified</status>
      <modifiedWord/>
      <trackRevisions>false</trackRevisions>
    </reviewItem>
    <reviewItem>
      <errorID>2b05fe96-8504-4715-bb42-37c1b7992433</errorID>
      <errorWord>做</errorWord>
      <group>L1_Word</group>
      <groupName>字词问题</groupName>
      <ability>L2_Typo</ability>
      <abilityName>字词错误</abilityName>
      <candidateList>
        <item>作</item>
      </candidateList>
      <explain>存在发音相同字词的误用。</explain>
      <paraID>1679638F</paraID>
      <start>1</start>
      <end>2</end>
      <status>ignored</status>
      <modifiedWord/>
      <trackRevisions>false</trackRevisions>
    </reviewItem>
    <reviewItem>
      <errorID>7bb2a388-8765-43f4-83d3-d0ca2ed57e27</errorID>
      <errorWord>～＜</errorWord>
      <group>L1_Format</group>
      <groupName>格式问题</groupName>
      <ability>L2_HalfPunc_CN</ability>
      <abilityName>全半角问题</abilityName>
      <candidateList>
        <item>~&lt;</item>
      </candidateList>
      <explain>文本全半角错误。</explain>
      <paraID>4A9FCE56</paraID>
      <start>4</start>
      <end>6</end>
      <status>ignored</status>
      <modifiedWord/>
      <trackRevisions>false</trackRevisions>
    </reviewItem>
    <reviewItem>
      <errorID>d1420da7-93ff-41a9-955f-e96d9ea041b7</errorID>
      <errorWord>～＜</errorWord>
      <group>L1_Format</group>
      <groupName>格式问题</groupName>
      <ability>L2_HalfPunc_CN</ability>
      <abilityName>全半角问题</abilityName>
      <candidateList>
        <item>~&lt;</item>
      </candidateList>
      <explain>文本全半角错误。</explain>
      <paraID>6FBBA0CA</paraID>
      <start>4</start>
      <end>6</end>
      <status>ignored</status>
      <modifiedWord/>
      <trackRevisions>false</trackRevisions>
    </reviewItem>
    <reviewItem>
      <errorID>0a313859-ebfb-44d5-8a11-2692bec8bbf8</errorID>
      <errorWord>做</errorWord>
      <group>L1_Word</group>
      <groupName>字词问题</groupName>
      <ability>L2_Typo</ability>
      <abilityName>字词错误</abilityName>
      <candidateList>
        <item>作</item>
      </candidateList>
      <explain>存在发音相同字词的误用。</explain>
      <paraID> C1466A3</paraID>
      <start>1</start>
      <end>2</end>
      <status>ignored</status>
      <modifiedWord/>
      <trackRevisions>false</trackRevisions>
    </reviewItem>
    <reviewItem>
      <errorID>e0de250e-1f2e-4042-9b17-72b668235f24</errorID>
      <errorWord>做</errorWord>
      <group>L1_Word</group>
      <groupName>字词问题</groupName>
      <ability>L2_Typo</ability>
      <abilityName>字词错误</abilityName>
      <candidateList>
        <item>作</item>
      </candidateList>
      <explain>存在发音相同字词的误用。</explain>
      <paraID>3ED198F7</paraID>
      <start>1</start>
      <end>2</end>
      <status>ignored</status>
      <modifiedWord/>
      <trackRevisions>false</trackRevisions>
    </reviewItem>
    <reviewItem>
      <errorID>b0e8ed76-9edc-455c-8abf-1605dfd44e85</errorID>
      <errorWord>做</errorWord>
      <group>L1_Word</group>
      <groupName>字词问题</groupName>
      <ability>L2_Typo</ability>
      <abilityName>字词错误</abilityName>
      <candidateList>
        <item>作</item>
      </candidateList>
      <explain>存在发音相同字词的误用。</explain>
      <paraID>10FC25DF</paraID>
      <start>1</start>
      <end>2</end>
      <status>ignored</status>
      <modifiedWord/>
      <trackRevisions>false</trackRevisions>
    </reviewItem>
    <reviewItem>
      <errorID>002da84e-6578-4361-98f2-d3993984242a</errorID>
      <errorWord>做</errorWord>
      <group>L1_Word</group>
      <groupName>字词问题</groupName>
      <ability>L2_Typo</ability>
      <abilityName>字词错误</abilityName>
      <candidateList>
        <item>作</item>
      </candidateList>
      <explain>存在发音相同字词的误用。</explain>
      <paraID>305759D7</paraID>
      <start>1</start>
      <end>2</end>
      <status>ignored</status>
      <modifiedWord/>
      <trackRevisions>false</trackRevisions>
    </reviewItem>
    <reviewItem>
      <errorID>5fa9987d-157b-4eda-ab3c-c3f1d5ee7502</errorID>
      <errorWord>做</errorWord>
      <group>L1_Word</group>
      <groupName>字词问题</groupName>
      <ability>L2_Typo</ability>
      <abilityName>字词错误</abilityName>
      <candidateList>
        <item>作</item>
      </candidateList>
      <explain>存在发音相同字词的误用。</explain>
      <paraID>170A4054</paraID>
      <start>1</start>
      <end>2</end>
      <status>ignored</status>
      <modifiedWord/>
      <trackRevisions>false</trackRevisions>
    </reviewItem>
    <reviewItem>
      <errorID>6f685aab-6cae-4ab6-803b-034b38cf32b1</errorID>
      <errorWord>～</errorWord>
      <group>L1_Format</group>
      <groupName>格式问题</groupName>
      <ability>L2_HalfPunc_CN</ability>
      <abilityName>全半角问题</abilityName>
      <candidateList>
        <item>~</item>
      </candidateList>
      <explain>文本全半角错误。</explain>
      <paraID>3337E5D6</paraID>
      <start>4</start>
      <end>5</end>
      <status>ignored</status>
      <modifiedWord/>
      <trackRevisions>false</trackRevisions>
    </reviewItem>
    <reviewItem>
      <errorID>eb33704d-d17e-4df6-b15c-43e04a20e9e0</errorID>
      <errorWord>～</errorWord>
      <group>L1_Format</group>
      <groupName>格式问题</groupName>
      <ability>L2_HalfPunc_CN</ability>
      <abilityName>全半角问题</abilityName>
      <candidateList>
        <item>~</item>
      </candidateList>
      <explain>文本全半角错误。</explain>
      <paraID> 278FF83</paraID>
      <start>4</start>
      <end>5</end>
      <status>ignored</status>
      <modifiedWord/>
      <trackRevisions>false</trackRevisions>
    </reviewItem>
    <reviewItem>
      <errorID>76201a30-1bb0-4b7d-80c2-41ee61d691da</errorID>
      <errorWord>～</errorWord>
      <group>L1_Format</group>
      <groupName>格式问题</groupName>
      <ability>L2_HalfPunc_CN</ability>
      <abilityName>全半角问题</abilityName>
      <candidateList>
        <item>~</item>
      </candidateList>
      <explain>文本全半角错误。</explain>
      <paraID>76EF03FA</paraID>
      <start>4</start>
      <end>5</end>
      <status>ignored</status>
      <modifiedWord/>
      <trackRevisions>false</trackRevisions>
    </reviewItem>
    <reviewItem>
      <errorID>2abdc17b-248c-4245-b427-a6c7ba38475c</errorID>
      <errorWord>～</errorWord>
      <group>L1_Format</group>
      <groupName>格式问题</groupName>
      <ability>L2_HalfPunc_CN</ability>
      <abilityName>全半角问题</abilityName>
      <candidateList>
        <item>~</item>
      </candidateList>
      <explain>文本全半角错误。</explain>
      <paraID>4A788149</paraID>
      <start>4</start>
      <end>5</end>
      <status>ignored</status>
      <modifiedWord/>
      <trackRevisions>false</trackRevisions>
    </reviewItem>
    <reviewItem>
      <errorID>d7b94bb5-0314-4509-877d-601626eadeef</errorID>
      <errorWord>做</errorWord>
      <group>L1_Word</group>
      <groupName>字词问题</groupName>
      <ability>L2_Typo</ability>
      <abilityName>字词错误</abilityName>
      <candidateList>
        <item>作</item>
      </candidateList>
      <explain>存在发音相同字词的误用。</explain>
      <paraID> CF668DB</paraID>
      <start>1</start>
      <end>2</end>
      <status>ignored</status>
      <modifiedWord/>
      <trackRevisions>false</trackRevisions>
    </reviewItem>
    <reviewItem>
      <errorID>34e9485c-cc0b-4892-a1dd-10b0f74dbca2</errorID>
      <errorWord>做</errorWord>
      <group>L1_Word</group>
      <groupName>字词问题</groupName>
      <ability>L2_Typo</ability>
      <abilityName>字词错误</abilityName>
      <candidateList>
        <item>作</item>
      </candidateList>
      <explain>存在发音相同字词的误用。</explain>
      <paraID> 92B8630</paraID>
      <start>1</start>
      <end>2</end>
      <status>ignored</status>
      <modifiedWord/>
      <trackRevisions>false</trackRevisions>
    </reviewItem>
    <reviewItem>
      <errorID>c933bf2c-af38-4bf3-a440-ac9e92e577ca</errorID>
      <errorWord>＜</errorWord>
      <group>L1_Format</group>
      <groupName>格式问题</groupName>
      <ability>L2_HalfPunc_CN</ability>
      <abilityName>全半角问题</abilityName>
      <candidateList>
        <item>&lt;</item>
      </candidateList>
      <explain>文本全半角错误。</explain>
      <paraID>7722FD8F</paraID>
      <start>0</start>
      <end>1</end>
      <status>ignored</status>
      <modifiedWord/>
      <trackRevisions>false</trackRevisions>
    </reviewItem>
    <reviewItem>
      <errorID>23a9920c-7de3-450f-929d-894187da7531</errorID>
      <errorWord>做</errorWord>
      <group>L1_Word</group>
      <groupName>字词问题</groupName>
      <ability>L2_Typo</ability>
      <abilityName>字词错误</abilityName>
      <candidateList>
        <item>作</item>
      </candidateList>
      <explain>存在发音相同字词的误用。</explain>
      <paraID>14665090</paraID>
      <start>1</start>
      <end>2</end>
      <status>ignored</status>
      <modifiedWord/>
      <trackRevisions>false</trackRevisions>
    </reviewItem>
    <reviewItem>
      <errorID>e58f27b3-40f0-4e1e-9758-690946134246</errorID>
      <errorWord>做</errorWord>
      <group>L1_Word</group>
      <groupName>字词问题</groupName>
      <ability>L2_Typo</ability>
      <abilityName>字词错误</abilityName>
      <candidateList>
        <item>作</item>
      </candidateList>
      <explain>存在发音相同字词的误用。</explain>
      <paraID>342D5BD6</paraID>
      <start>1</start>
      <end>2</end>
      <status>ignored</status>
      <modifiedWord/>
      <trackRevisions>false</trackRevisions>
    </reviewItem>
    <reviewItem>
      <errorID>fa9edf6c-fae3-4db7-bdf2-660985850595</errorID>
      <errorWord>做</errorWord>
      <group>L1_Word</group>
      <groupName>字词问题</groupName>
      <ability>L2_Typo</ability>
      <abilityName>字词错误</abilityName>
      <candidateList>
        <item>作</item>
      </candidateList>
      <explain>存在发音相同字词的误用。</explain>
      <paraID>4D3CAD7F</paraID>
      <start>1</start>
      <end>2</end>
      <status>ignored</status>
      <modifiedWord/>
      <trackRevisions>false</trackRevisions>
    </reviewItem>
    <reviewItem>
      <errorID>d52bd52e-0bd9-4dd6-91d9-036212ce4289</errorID>
      <errorWord>做</errorWord>
      <group>L1_Word</group>
      <groupName>字词问题</groupName>
      <ability>L2_Typo</ability>
      <abilityName>字词错误</abilityName>
      <candidateList>
        <item>作</item>
      </candidateList>
      <explain>存在发音相同字词的误用。</explain>
      <paraID>32B26FB4</paraID>
      <start>1</start>
      <end>2</end>
      <status>ignored</status>
      <modifiedWord/>
      <trackRevisions>false</trackRevisions>
    </reviewItem>
    <reviewItem>
      <errorID>a66851a0-47e2-40a0-85c9-5529f87751d2</errorID>
      <errorWord>～＜</errorWord>
      <group>L1_Format</group>
      <groupName>格式问题</groupName>
      <ability>L2_HalfPunc_CN</ability>
      <abilityName>全半角问题</abilityName>
      <candidateList>
        <item>~&lt;</item>
      </candidateList>
      <explain>文本全半角错误。</explain>
      <paraID> 631C5F0</paraID>
      <start>2</start>
      <end>4</end>
      <status>ignored</status>
      <modifiedWord/>
      <trackRevisions>false</trackRevisions>
    </reviewItem>
    <reviewItem>
      <errorID>b90fd9a6-13f4-48cd-b60c-811c94bd9e51</errorID>
      <errorWord>～＜</errorWord>
      <group>L1_Format</group>
      <groupName>格式问题</groupName>
      <ability>L2_HalfPunc_CN</ability>
      <abilityName>全半角问题</abilityName>
      <candidateList>
        <item>~&lt;</item>
      </candidateList>
      <explain>文本全半角错误。</explain>
      <paraID>3E833A04</paraID>
      <start>2</start>
      <end>4</end>
      <status>ignored</status>
      <modifiedWord/>
      <trackRevisions>false</trackRevisions>
    </reviewItem>
    <reviewItem>
      <errorID>fd256118-da6e-4998-84c4-f19c4234a1eb</errorID>
      <errorWord>，&gt;</errorWord>
      <group>L1_Punc</group>
      <groupName>标点问题</groupName>
      <ability>L2_Punc_CN</ability>
      <abilityName>标点符号问题</abilityName>
      <candidateList>
        <item>，</item>
      </candidateList>
      <explain/>
      <paraID>47898F49</paraID>
      <start>20</start>
      <end>21</end>
      <status>modified</status>
      <modifiedWord>，</modifiedWord>
      <trackRevisions>false</trackRevisions>
    </reviewItem>
    <reviewItem>
      <errorID>b8f9eef1-6bcb-4123-8192-138ad7847bde</errorID>
      <errorWord>榨汁</errorWord>
      <group>L1_Word</group>
      <groupName>字词问题</groupName>
      <ability>L2_Typo</ability>
      <abilityName>字词错误</abilityName>
      <candidateList>
        <item>榨汁机</item>
      </candidateList>
      <explain/>
      <paraID>4CC846FF</paraID>
      <start>34</start>
      <end>36</end>
      <status>ignored</status>
      <modifiedWord/>
      <trackRevisions>false</trackRevisions>
    </reviewItem>
    <reviewItem>
      <errorID>c2dd8d84-de05-4c17-8505-b3d22028a20a</errorID>
      <errorWord>~</errorWord>
      <group>L1_Format</group>
      <groupName>格式问题</groupName>
      <ability>L2_HalfPunc_CN</ability>
      <abilityName>全半角问题</abilityName>
      <candidateList>
        <item>～</item>
      </candidateList>
      <explain>文本全半角错误。</explain>
      <paraID>289B7985</paraID>
      <start>23</start>
      <end>24</end>
      <status>ignored</status>
      <modifiedWord/>
      <trackRevisions>false</trackRevisions>
    </reviewItem>
    <reviewItem>
      <errorID>aba3fa28-780d-4a20-9396-d8d0fab5cb29</errorID>
      <errorWord>；&gt;</errorWord>
      <group>L1_Punc</group>
      <groupName>标点问题</groupName>
      <ability>L2_Punc_CN</ability>
      <abilityName>标点符号问题</abilityName>
      <candidateList>
        <item>；</item>
      </candidateList>
      <explain/>
      <paraID>289B7985</paraID>
      <start>31</start>
      <end>32</end>
      <status>modified</status>
      <modifiedWord>；</modifiedWord>
      <trackRevisions>false</trackRevisions>
    </reviewItem>
    <reviewItem>
      <errorID>b4449209-1155-451b-aaf2-bf005eb261f4</errorID>
      <errorWord>NY/T 2316-2023 苹果品质指标评价规范成熟团体标准</errorWord>
      <group>L1_Other</group>
      <groupName>其他问题</groupName>
      <ability>L2_Consistency</ability>
      <abilityName>一致性检查</abilityName>
      <candidateList>
        <item>NY/T 2316-2023 苹果品质指标评价规范</item>
      </candidateList>
      <explain>术语一致性问题，多余‘成熟团体标准’表述，应与其他提及处统一</explain>
      <paraID>7C45AB63</paraID>
      <start>46</start>
      <end>71</end>
      <status>modified</status>
      <modifiedWord>NY/T 2316-2023 苹果品质指标评价规范</modifiedWord>
      <trackRevisions>false</trackRevisions>
    </reviewItem>
    <reviewItem>
      <errorID>a873f749-b990-4444-bdf0-5024ad57e701</errorID>
      <errorWord>推广标准</errorWord>
      <group>L1_Grammar</group>
      <groupName>语法问题</groupName>
      <ability>L2_Grammar</ability>
      <abilityName>语法错误</abilityName>
      <candidateList>
        <item>推广</item>
      </candidateList>
      <explain/>
      <paraID>5414473D</paraID>
      <start>71</start>
      <end>73</end>
      <status>modified</status>
      <modifiedWord>推广</modifiedWord>
      <trackRevisions>false</trackRevisions>
    </reviewItem>
    <reviewItem>
      <errorID>5e6e8bbf-c825-4193-9e86-d2bfce430d24</errorID>
      <errorWord>级</errorWord>
      <group>L1_Word</group>
      <groupName>字词问题</groupName>
      <ability>L2_Typo</ability>
      <abilityName>字词错误</abilityName>
      <candidateList>
        <item>级和</item>
      </candidateList>
      <explain/>
      <paraID>5414473D</paraID>
      <start>81</start>
      <end>82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8f037bdd-b1f9-4909-aa8a-b13e9db59be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3279</Words>
  <Characters>3657</Characters>
  <TotalTime>10</TotalTime>
  <ScaleCrop>false</ScaleCrop>
  <LinksUpToDate>false</LinksUpToDate>
  <CharactersWithSpaces>3723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2026-06-04T07:39:00Z</dcterms:created>
  <dc:creator>Apache POI</dc:creator>
  <cp:lastModifiedBy>caia</cp:lastModifiedBy>
  <dcterms:modified xsi:type="dcterms:W3CDTF">2026-08-17T02:57:47Z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184A25F6FC5541EBB478EF1355826994_13</vt:lpwstr>
  </property>
  <property fmtid="{D5CDD505-2E9C-101B-9397-08002B2CF9AE}" pid="4" name="KSOTemplateDocerSaveRecord">
    <vt:lpwstr>eyJoZGlkIjoiN2IxZjI5ZDdhYzUzNTY1MzE5MGRjY2M0NDQ3OTk0MjgiLCJ1c2VySWQiOiI0NjIxOTUwMjYifQ==</vt:lpwstr>
  </property>
</Properties>
</file>